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F50F" w14:textId="77777777" w:rsidR="00C53F1B" w:rsidRDefault="00000000">
      <w:pPr>
        <w:spacing w:before="1200" w:after="200"/>
        <w:jc w:val="center"/>
      </w:pPr>
      <w:r>
        <w:rPr>
          <w:b/>
          <w:bCs/>
          <w:color w:val="C19A4B"/>
          <w:sz w:val="28"/>
          <w:szCs w:val="28"/>
        </w:rPr>
        <w:t>AUSTRALIA</w:t>
      </w:r>
    </w:p>
    <w:p w14:paraId="25BB047C" w14:textId="77777777" w:rsidR="00C53F1B" w:rsidRDefault="00000000">
      <w:pPr>
        <w:spacing w:after="400"/>
        <w:jc w:val="center"/>
      </w:pPr>
      <w:r>
        <w:rPr>
          <w:b/>
          <w:bCs/>
          <w:color w:val="1F3864"/>
        </w:rPr>
        <w:t>OFFICIAL CANDIDATE-CITY SUBMISSION</w:t>
      </w:r>
    </w:p>
    <w:p w14:paraId="12A7E031" w14:textId="77777777" w:rsidR="00C53F1B" w:rsidRDefault="00000000">
      <w:pPr>
        <w:spacing w:after="60"/>
        <w:jc w:val="center"/>
      </w:pPr>
      <w:r>
        <w:rPr>
          <w:b/>
          <w:bCs/>
          <w:color w:val="1F3864"/>
          <w:sz w:val="96"/>
          <w:szCs w:val="96"/>
        </w:rPr>
        <w:t>PERTH 2032</w:t>
      </w:r>
    </w:p>
    <w:p w14:paraId="4D5074CB" w14:textId="77777777" w:rsidR="00C53F1B" w:rsidRDefault="00000000">
      <w:pPr>
        <w:spacing w:after="800"/>
        <w:jc w:val="center"/>
      </w:pPr>
      <w:r>
        <w:rPr>
          <w:color w:val="1F3864"/>
          <w:sz w:val="32"/>
          <w:szCs w:val="32"/>
        </w:rPr>
        <w:t>Bid for the Games of the XXXIII Olympiad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53F1B" w14:paraId="0EEF95BE" w14:textId="77777777">
        <w:tblPrEx>
          <w:tblCellMar>
            <w:top w:w="0" w:type="dxa"/>
            <w:bottom w:w="0" w:type="dxa"/>
          </w:tblCellMar>
        </w:tblPrEx>
        <w:tc>
          <w:tcPr>
            <w:tcW w:w="9026" w:type="dxa"/>
            <w:tcBorders>
              <w:top w:val="single" w:sz="4" w:space="0" w:color="C19A4B"/>
              <w:left w:val="single" w:sz="4" w:space="0" w:color="C19A4B"/>
              <w:bottom w:val="single" w:sz="4" w:space="0" w:color="C19A4B"/>
              <w:right w:val="single" w:sz="4" w:space="0" w:color="C19A4B"/>
            </w:tcBorders>
            <w:shd w:val="clear" w:color="auto" w:fill="F4ECD8"/>
            <w:tcMar>
              <w:top w:w="1200" w:type="dxa"/>
              <w:left w:w="360" w:type="dxa"/>
              <w:bottom w:w="1200" w:type="dxa"/>
              <w:right w:w="360" w:type="dxa"/>
            </w:tcMar>
          </w:tcPr>
          <w:p w14:paraId="73B08911" w14:textId="77777777" w:rsidR="0050056A" w:rsidRDefault="0050056A">
            <w:pPr>
              <w:spacing w:after="120"/>
              <w:jc w:val="center"/>
              <w:rPr>
                <w:color w:val="595959"/>
              </w:rPr>
            </w:pPr>
            <w:r>
              <w:rPr>
                <w:noProof/>
                <w:color w:val="595959"/>
              </w:rPr>
              <w:drawing>
                <wp:inline distT="0" distB="0" distL="0" distR="0" wp14:anchorId="50B8AD75" wp14:editId="358DAF85">
                  <wp:extent cx="2097405" cy="2670175"/>
                  <wp:effectExtent l="0" t="0" r="0" b="0"/>
                  <wp:docPr id="4016861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7405" cy="2670175"/>
                          </a:xfrm>
                          <a:prstGeom prst="rect">
                            <a:avLst/>
                          </a:prstGeom>
                          <a:noFill/>
                        </pic:spPr>
                      </pic:pic>
                    </a:graphicData>
                  </a:graphic>
                </wp:inline>
              </w:drawing>
            </w:r>
          </w:p>
          <w:p w14:paraId="229D640B" w14:textId="7681FC14" w:rsidR="00C53F1B" w:rsidRDefault="00000000">
            <w:pPr>
              <w:spacing w:after="120"/>
              <w:jc w:val="center"/>
            </w:pPr>
            <w:r>
              <w:rPr>
                <w:color w:val="595959"/>
              </w:rPr>
              <w:t>[Image: Quokka, official mascot, photographed at Rottnest Island sunrise]</w:t>
            </w:r>
          </w:p>
          <w:p w14:paraId="0B13BABD" w14:textId="77777777" w:rsidR="00C53F1B" w:rsidRDefault="00000000">
            <w:pPr>
              <w:jc w:val="center"/>
            </w:pPr>
            <w:r>
              <w:rPr>
                <w:color w:val="595959"/>
                <w:sz w:val="18"/>
                <w:szCs w:val="18"/>
              </w:rPr>
              <w:t>Photograph: Tourism Western Australia / Perth 2032 Bid Committee</w:t>
            </w:r>
          </w:p>
        </w:tc>
      </w:tr>
    </w:tbl>
    <w:p w14:paraId="18504C87" w14:textId="77777777" w:rsidR="00C53F1B" w:rsidRDefault="00C53F1B">
      <w:pPr>
        <w:spacing w:after="120"/>
      </w:pPr>
    </w:p>
    <w:p w14:paraId="5B949ADA" w14:textId="77777777" w:rsidR="00C53F1B" w:rsidRDefault="00000000">
      <w:pPr>
        <w:spacing w:before="600" w:after="80"/>
        <w:jc w:val="center"/>
      </w:pPr>
      <w:r>
        <w:rPr>
          <w:color w:val="595959"/>
          <w:sz w:val="20"/>
          <w:szCs w:val="20"/>
        </w:rPr>
        <w:t>Lodged with the International Olympic Committee</w:t>
      </w:r>
    </w:p>
    <w:p w14:paraId="6F0585CB" w14:textId="173B6E46" w:rsidR="00C53F1B" w:rsidRDefault="00000000">
      <w:pPr>
        <w:spacing w:after="60"/>
        <w:jc w:val="center"/>
      </w:pPr>
      <w:r>
        <w:rPr>
          <w:color w:val="595959"/>
          <w:sz w:val="20"/>
          <w:szCs w:val="20"/>
        </w:rPr>
        <w:t>Government of Western Australia in partnership with the Commonwealth of Australia</w:t>
      </w:r>
    </w:p>
    <w:p w14:paraId="41EAAC77" w14:textId="77777777" w:rsidR="00C53F1B" w:rsidRDefault="00000000">
      <w:pPr>
        <w:spacing w:after="600"/>
        <w:jc w:val="center"/>
      </w:pPr>
      <w:r>
        <w:rPr>
          <w:color w:val="595959"/>
          <w:sz w:val="20"/>
          <w:szCs w:val="20"/>
        </w:rPr>
        <w:t xml:space="preserve">16 November </w:t>
      </w:r>
      <w:proofErr w:type="gramStart"/>
      <w:r>
        <w:rPr>
          <w:color w:val="595959"/>
          <w:sz w:val="20"/>
          <w:szCs w:val="20"/>
        </w:rPr>
        <w:t>2018  |</w:t>
      </w:r>
      <w:proofErr w:type="gramEnd"/>
      <w:r>
        <w:rPr>
          <w:color w:val="595959"/>
          <w:sz w:val="20"/>
          <w:szCs w:val="20"/>
        </w:rPr>
        <w:t xml:space="preserve">  Volume I — Main Bid Document</w:t>
      </w:r>
    </w:p>
    <w:p w14:paraId="62E72479" w14:textId="77777777" w:rsidR="00C53F1B" w:rsidRDefault="00000000">
      <w:r>
        <w:lastRenderedPageBreak/>
        <w:br w:type="page"/>
      </w:r>
    </w:p>
    <w:p w14:paraId="586F2E97" w14:textId="77777777" w:rsidR="00C53F1B" w:rsidRDefault="00000000">
      <w:pPr>
        <w:spacing w:before="200" w:after="240"/>
      </w:pPr>
      <w:r>
        <w:rPr>
          <w:b/>
          <w:bCs/>
          <w:color w:val="1F3864"/>
          <w:sz w:val="40"/>
          <w:szCs w:val="40"/>
        </w:rPr>
        <w:lastRenderedPageBreak/>
        <w:t>Table of Contents</w:t>
      </w:r>
    </w:p>
    <w:sdt>
      <w:sdtPr>
        <w:alias w:val="Table of Contents"/>
        <w:id w:val="-291895412"/>
      </w:sdtPr>
      <w:sdtContent>
        <w:p w14:paraId="3C5B41A1" w14:textId="77777777" w:rsidR="0050056A" w:rsidRDefault="00000000">
          <w:pPr>
            <w:pStyle w:val="TOC1"/>
            <w:tabs>
              <w:tab w:val="right" w:leader="dot" w:pos="9016"/>
            </w:tabs>
            <w:rPr>
              <w:noProof/>
            </w:rPr>
          </w:pPr>
          <w:r>
            <w:fldChar w:fldCharType="begin"/>
          </w:r>
          <w:r>
            <w:instrText>TOC \h \o "1-3"</w:instrText>
          </w:r>
          <w:r>
            <w:fldChar w:fldCharType="separate"/>
          </w:r>
          <w:hyperlink w:anchor="_Toc228881664" w:history="1">
            <w:r w:rsidR="0050056A" w:rsidRPr="006F3362">
              <w:rPr>
                <w:rStyle w:val="Hyperlink"/>
                <w:noProof/>
              </w:rPr>
              <w:t>1. Executive Summary</w:t>
            </w:r>
            <w:r w:rsidR="0050056A">
              <w:rPr>
                <w:noProof/>
              </w:rPr>
              <w:tab/>
            </w:r>
            <w:r w:rsidR="0050056A">
              <w:rPr>
                <w:noProof/>
              </w:rPr>
              <w:fldChar w:fldCharType="begin"/>
            </w:r>
            <w:r w:rsidR="0050056A">
              <w:rPr>
                <w:noProof/>
              </w:rPr>
              <w:instrText xml:space="preserve"> PAGEREF _Toc228881664 \h </w:instrText>
            </w:r>
            <w:r w:rsidR="0050056A">
              <w:rPr>
                <w:noProof/>
              </w:rPr>
            </w:r>
            <w:r w:rsidR="0050056A">
              <w:rPr>
                <w:noProof/>
              </w:rPr>
              <w:fldChar w:fldCharType="separate"/>
            </w:r>
            <w:r w:rsidR="0050056A">
              <w:rPr>
                <w:noProof/>
              </w:rPr>
              <w:t>4</w:t>
            </w:r>
            <w:r w:rsidR="0050056A">
              <w:rPr>
                <w:noProof/>
              </w:rPr>
              <w:fldChar w:fldCharType="end"/>
            </w:r>
          </w:hyperlink>
        </w:p>
        <w:p w14:paraId="13F1911C" w14:textId="77777777" w:rsidR="0050056A" w:rsidRDefault="0050056A">
          <w:pPr>
            <w:pStyle w:val="TOC1"/>
            <w:tabs>
              <w:tab w:val="right" w:leader="dot" w:pos="9016"/>
            </w:tabs>
            <w:rPr>
              <w:noProof/>
            </w:rPr>
          </w:pPr>
          <w:hyperlink w:anchor="_Toc228881665" w:history="1">
            <w:r w:rsidRPr="006F3362">
              <w:rPr>
                <w:rStyle w:val="Hyperlink"/>
                <w:noProof/>
              </w:rPr>
              <w:t>2. Vision and Strategic Rationale</w:t>
            </w:r>
            <w:r>
              <w:rPr>
                <w:noProof/>
              </w:rPr>
              <w:tab/>
            </w:r>
            <w:r>
              <w:rPr>
                <w:noProof/>
              </w:rPr>
              <w:fldChar w:fldCharType="begin"/>
            </w:r>
            <w:r>
              <w:rPr>
                <w:noProof/>
              </w:rPr>
              <w:instrText xml:space="preserve"> PAGEREF _Toc228881665 \h </w:instrText>
            </w:r>
            <w:r>
              <w:rPr>
                <w:noProof/>
              </w:rPr>
            </w:r>
            <w:r>
              <w:rPr>
                <w:noProof/>
              </w:rPr>
              <w:fldChar w:fldCharType="separate"/>
            </w:r>
            <w:r>
              <w:rPr>
                <w:noProof/>
              </w:rPr>
              <w:t>5</w:t>
            </w:r>
            <w:r>
              <w:rPr>
                <w:noProof/>
              </w:rPr>
              <w:fldChar w:fldCharType="end"/>
            </w:r>
          </w:hyperlink>
        </w:p>
        <w:p w14:paraId="3558ADEC" w14:textId="77777777" w:rsidR="0050056A" w:rsidRDefault="0050056A">
          <w:pPr>
            <w:pStyle w:val="TOC2"/>
            <w:tabs>
              <w:tab w:val="right" w:leader="dot" w:pos="9016"/>
            </w:tabs>
            <w:rPr>
              <w:noProof/>
            </w:rPr>
          </w:pPr>
          <w:hyperlink w:anchor="_Toc228881666" w:history="1">
            <w:r w:rsidRPr="006F3362">
              <w:rPr>
                <w:rStyle w:val="Hyperlink"/>
                <w:noProof/>
              </w:rPr>
              <w:t>2.1 Climate-suitable delivery</w:t>
            </w:r>
            <w:r>
              <w:rPr>
                <w:noProof/>
              </w:rPr>
              <w:tab/>
            </w:r>
            <w:r>
              <w:rPr>
                <w:noProof/>
              </w:rPr>
              <w:fldChar w:fldCharType="begin"/>
            </w:r>
            <w:r>
              <w:rPr>
                <w:noProof/>
              </w:rPr>
              <w:instrText xml:space="preserve"> PAGEREF _Toc228881666 \h </w:instrText>
            </w:r>
            <w:r>
              <w:rPr>
                <w:noProof/>
              </w:rPr>
            </w:r>
            <w:r>
              <w:rPr>
                <w:noProof/>
              </w:rPr>
              <w:fldChar w:fldCharType="separate"/>
            </w:r>
            <w:r>
              <w:rPr>
                <w:noProof/>
              </w:rPr>
              <w:t>5</w:t>
            </w:r>
            <w:r>
              <w:rPr>
                <w:noProof/>
              </w:rPr>
              <w:fldChar w:fldCharType="end"/>
            </w:r>
          </w:hyperlink>
        </w:p>
        <w:p w14:paraId="26150CE7" w14:textId="77777777" w:rsidR="0050056A" w:rsidRDefault="0050056A">
          <w:pPr>
            <w:pStyle w:val="TOC2"/>
            <w:tabs>
              <w:tab w:val="right" w:leader="dot" w:pos="9016"/>
            </w:tabs>
            <w:rPr>
              <w:noProof/>
            </w:rPr>
          </w:pPr>
          <w:hyperlink w:anchor="_Toc228881667" w:history="1">
            <w:r w:rsidRPr="006F3362">
              <w:rPr>
                <w:rStyle w:val="Hyperlink"/>
                <w:noProof/>
              </w:rPr>
              <w:t>2.2 Legacy alignment</w:t>
            </w:r>
            <w:r>
              <w:rPr>
                <w:noProof/>
              </w:rPr>
              <w:tab/>
            </w:r>
            <w:r>
              <w:rPr>
                <w:noProof/>
              </w:rPr>
              <w:fldChar w:fldCharType="begin"/>
            </w:r>
            <w:r>
              <w:rPr>
                <w:noProof/>
              </w:rPr>
              <w:instrText xml:space="preserve"> PAGEREF _Toc228881667 \h </w:instrText>
            </w:r>
            <w:r>
              <w:rPr>
                <w:noProof/>
              </w:rPr>
            </w:r>
            <w:r>
              <w:rPr>
                <w:noProof/>
              </w:rPr>
              <w:fldChar w:fldCharType="separate"/>
            </w:r>
            <w:r>
              <w:rPr>
                <w:noProof/>
              </w:rPr>
              <w:t>5</w:t>
            </w:r>
            <w:r>
              <w:rPr>
                <w:noProof/>
              </w:rPr>
              <w:fldChar w:fldCharType="end"/>
            </w:r>
          </w:hyperlink>
        </w:p>
        <w:p w14:paraId="109CCF6A" w14:textId="77777777" w:rsidR="0050056A" w:rsidRDefault="0050056A">
          <w:pPr>
            <w:pStyle w:val="TOC2"/>
            <w:tabs>
              <w:tab w:val="right" w:leader="dot" w:pos="9016"/>
            </w:tabs>
            <w:rPr>
              <w:noProof/>
            </w:rPr>
          </w:pPr>
          <w:hyperlink w:anchor="_Toc228881668" w:history="1">
            <w:r w:rsidRPr="006F3362">
              <w:rPr>
                <w:rStyle w:val="Hyperlink"/>
                <w:noProof/>
              </w:rPr>
              <w:t>2.3 Cultural identity through native fauna</w:t>
            </w:r>
            <w:r>
              <w:rPr>
                <w:noProof/>
              </w:rPr>
              <w:tab/>
            </w:r>
            <w:r>
              <w:rPr>
                <w:noProof/>
              </w:rPr>
              <w:fldChar w:fldCharType="begin"/>
            </w:r>
            <w:r>
              <w:rPr>
                <w:noProof/>
              </w:rPr>
              <w:instrText xml:space="preserve"> PAGEREF _Toc228881668 \h </w:instrText>
            </w:r>
            <w:r>
              <w:rPr>
                <w:noProof/>
              </w:rPr>
            </w:r>
            <w:r>
              <w:rPr>
                <w:noProof/>
              </w:rPr>
              <w:fldChar w:fldCharType="separate"/>
            </w:r>
            <w:r>
              <w:rPr>
                <w:noProof/>
              </w:rPr>
              <w:t>5</w:t>
            </w:r>
            <w:r>
              <w:rPr>
                <w:noProof/>
              </w:rPr>
              <w:fldChar w:fldCharType="end"/>
            </w:r>
          </w:hyperlink>
        </w:p>
        <w:p w14:paraId="6ACDD2A6" w14:textId="77777777" w:rsidR="0050056A" w:rsidRDefault="0050056A">
          <w:pPr>
            <w:pStyle w:val="TOC1"/>
            <w:tabs>
              <w:tab w:val="right" w:leader="dot" w:pos="9016"/>
            </w:tabs>
            <w:rPr>
              <w:noProof/>
            </w:rPr>
          </w:pPr>
          <w:hyperlink w:anchor="_Toc228881669" w:history="1">
            <w:r w:rsidRPr="006F3362">
              <w:rPr>
                <w:rStyle w:val="Hyperlink"/>
                <w:noProof/>
              </w:rPr>
              <w:t>3. Government Support and Federal Endorsement</w:t>
            </w:r>
            <w:r>
              <w:rPr>
                <w:noProof/>
              </w:rPr>
              <w:tab/>
            </w:r>
            <w:r>
              <w:rPr>
                <w:noProof/>
              </w:rPr>
              <w:fldChar w:fldCharType="begin"/>
            </w:r>
            <w:r>
              <w:rPr>
                <w:noProof/>
              </w:rPr>
              <w:instrText xml:space="preserve"> PAGEREF _Toc228881669 \h </w:instrText>
            </w:r>
            <w:r>
              <w:rPr>
                <w:noProof/>
              </w:rPr>
            </w:r>
            <w:r>
              <w:rPr>
                <w:noProof/>
              </w:rPr>
              <w:fldChar w:fldCharType="separate"/>
            </w:r>
            <w:r>
              <w:rPr>
                <w:noProof/>
              </w:rPr>
              <w:t>6</w:t>
            </w:r>
            <w:r>
              <w:rPr>
                <w:noProof/>
              </w:rPr>
              <w:fldChar w:fldCharType="end"/>
            </w:r>
          </w:hyperlink>
        </w:p>
        <w:p w14:paraId="75170C88" w14:textId="77777777" w:rsidR="0050056A" w:rsidRDefault="0050056A">
          <w:pPr>
            <w:pStyle w:val="TOC2"/>
            <w:tabs>
              <w:tab w:val="right" w:leader="dot" w:pos="9016"/>
            </w:tabs>
            <w:rPr>
              <w:noProof/>
            </w:rPr>
          </w:pPr>
          <w:hyperlink w:anchor="_Toc228881670" w:history="1">
            <w:r w:rsidRPr="006F3362">
              <w:rPr>
                <w:rStyle w:val="Hyperlink"/>
                <w:noProof/>
              </w:rPr>
              <w:t>3.1 Commonwealth co-funding commitment</w:t>
            </w:r>
            <w:r>
              <w:rPr>
                <w:noProof/>
              </w:rPr>
              <w:tab/>
            </w:r>
            <w:r>
              <w:rPr>
                <w:noProof/>
              </w:rPr>
              <w:fldChar w:fldCharType="begin"/>
            </w:r>
            <w:r>
              <w:rPr>
                <w:noProof/>
              </w:rPr>
              <w:instrText xml:space="preserve"> PAGEREF _Toc228881670 \h </w:instrText>
            </w:r>
            <w:r>
              <w:rPr>
                <w:noProof/>
              </w:rPr>
            </w:r>
            <w:r>
              <w:rPr>
                <w:noProof/>
              </w:rPr>
              <w:fldChar w:fldCharType="separate"/>
            </w:r>
            <w:r>
              <w:rPr>
                <w:noProof/>
              </w:rPr>
              <w:t>6</w:t>
            </w:r>
            <w:r>
              <w:rPr>
                <w:noProof/>
              </w:rPr>
              <w:fldChar w:fldCharType="end"/>
            </w:r>
          </w:hyperlink>
        </w:p>
        <w:p w14:paraId="1048C2B5" w14:textId="77777777" w:rsidR="0050056A" w:rsidRDefault="0050056A">
          <w:pPr>
            <w:pStyle w:val="TOC2"/>
            <w:tabs>
              <w:tab w:val="right" w:leader="dot" w:pos="9016"/>
            </w:tabs>
            <w:rPr>
              <w:noProof/>
            </w:rPr>
          </w:pPr>
          <w:hyperlink w:anchor="_Toc228881671" w:history="1">
            <w:r w:rsidRPr="006F3362">
              <w:rPr>
                <w:rStyle w:val="Hyperlink"/>
                <w:noProof/>
              </w:rPr>
              <w:t>3.2 Local government and stakeholder engagement</w:t>
            </w:r>
            <w:r>
              <w:rPr>
                <w:noProof/>
              </w:rPr>
              <w:tab/>
            </w:r>
            <w:r>
              <w:rPr>
                <w:noProof/>
              </w:rPr>
              <w:fldChar w:fldCharType="begin"/>
            </w:r>
            <w:r>
              <w:rPr>
                <w:noProof/>
              </w:rPr>
              <w:instrText xml:space="preserve"> PAGEREF _Toc228881671 \h </w:instrText>
            </w:r>
            <w:r>
              <w:rPr>
                <w:noProof/>
              </w:rPr>
            </w:r>
            <w:r>
              <w:rPr>
                <w:noProof/>
              </w:rPr>
              <w:fldChar w:fldCharType="separate"/>
            </w:r>
            <w:r>
              <w:rPr>
                <w:noProof/>
              </w:rPr>
              <w:t>6</w:t>
            </w:r>
            <w:r>
              <w:rPr>
                <w:noProof/>
              </w:rPr>
              <w:fldChar w:fldCharType="end"/>
            </w:r>
          </w:hyperlink>
        </w:p>
        <w:p w14:paraId="526252A0" w14:textId="77777777" w:rsidR="0050056A" w:rsidRDefault="0050056A">
          <w:pPr>
            <w:pStyle w:val="TOC2"/>
            <w:tabs>
              <w:tab w:val="right" w:leader="dot" w:pos="9016"/>
            </w:tabs>
            <w:rPr>
              <w:noProof/>
            </w:rPr>
          </w:pPr>
          <w:hyperlink w:anchor="_Toc228881672" w:history="1">
            <w:r w:rsidRPr="006F3362">
              <w:rPr>
                <w:rStyle w:val="Hyperlink"/>
                <w:noProof/>
              </w:rPr>
              <w:t>3.3 Bipartisan support</w:t>
            </w:r>
            <w:r>
              <w:rPr>
                <w:noProof/>
              </w:rPr>
              <w:tab/>
            </w:r>
            <w:r>
              <w:rPr>
                <w:noProof/>
              </w:rPr>
              <w:fldChar w:fldCharType="begin"/>
            </w:r>
            <w:r>
              <w:rPr>
                <w:noProof/>
              </w:rPr>
              <w:instrText xml:space="preserve"> PAGEREF _Toc228881672 \h </w:instrText>
            </w:r>
            <w:r>
              <w:rPr>
                <w:noProof/>
              </w:rPr>
            </w:r>
            <w:r>
              <w:rPr>
                <w:noProof/>
              </w:rPr>
              <w:fldChar w:fldCharType="separate"/>
            </w:r>
            <w:r>
              <w:rPr>
                <w:noProof/>
              </w:rPr>
              <w:t>6</w:t>
            </w:r>
            <w:r>
              <w:rPr>
                <w:noProof/>
              </w:rPr>
              <w:fldChar w:fldCharType="end"/>
            </w:r>
          </w:hyperlink>
        </w:p>
        <w:p w14:paraId="210898CC" w14:textId="77777777" w:rsidR="0050056A" w:rsidRDefault="0050056A">
          <w:pPr>
            <w:pStyle w:val="TOC1"/>
            <w:tabs>
              <w:tab w:val="right" w:leader="dot" w:pos="9016"/>
            </w:tabs>
            <w:rPr>
              <w:noProof/>
            </w:rPr>
          </w:pPr>
          <w:hyperlink w:anchor="_Toc228881673" w:history="1">
            <w:r w:rsidRPr="006F3362">
              <w:rPr>
                <w:rStyle w:val="Hyperlink"/>
                <w:noProof/>
              </w:rPr>
              <w:t>4. Venues</w:t>
            </w:r>
            <w:r>
              <w:rPr>
                <w:noProof/>
              </w:rPr>
              <w:tab/>
            </w:r>
            <w:r>
              <w:rPr>
                <w:noProof/>
              </w:rPr>
              <w:fldChar w:fldCharType="begin"/>
            </w:r>
            <w:r>
              <w:rPr>
                <w:noProof/>
              </w:rPr>
              <w:instrText xml:space="preserve"> PAGEREF _Toc228881673 \h </w:instrText>
            </w:r>
            <w:r>
              <w:rPr>
                <w:noProof/>
              </w:rPr>
            </w:r>
            <w:r>
              <w:rPr>
                <w:noProof/>
              </w:rPr>
              <w:fldChar w:fldCharType="separate"/>
            </w:r>
            <w:r>
              <w:rPr>
                <w:noProof/>
              </w:rPr>
              <w:t>7</w:t>
            </w:r>
            <w:r>
              <w:rPr>
                <w:noProof/>
              </w:rPr>
              <w:fldChar w:fldCharType="end"/>
            </w:r>
          </w:hyperlink>
        </w:p>
        <w:p w14:paraId="61DA8753" w14:textId="77777777" w:rsidR="0050056A" w:rsidRDefault="0050056A">
          <w:pPr>
            <w:pStyle w:val="TOC2"/>
            <w:tabs>
              <w:tab w:val="right" w:leader="dot" w:pos="9016"/>
            </w:tabs>
            <w:rPr>
              <w:noProof/>
            </w:rPr>
          </w:pPr>
          <w:hyperlink w:anchor="_Toc228881674" w:history="1">
            <w:r w:rsidRPr="006F3362">
              <w:rPr>
                <w:rStyle w:val="Hyperlink"/>
                <w:noProof/>
              </w:rPr>
              <w:t>4.1 Sport clusters</w:t>
            </w:r>
            <w:r>
              <w:rPr>
                <w:noProof/>
              </w:rPr>
              <w:tab/>
            </w:r>
            <w:r>
              <w:rPr>
                <w:noProof/>
              </w:rPr>
              <w:fldChar w:fldCharType="begin"/>
            </w:r>
            <w:r>
              <w:rPr>
                <w:noProof/>
              </w:rPr>
              <w:instrText xml:space="preserve"> PAGEREF _Toc228881674 \h </w:instrText>
            </w:r>
            <w:r>
              <w:rPr>
                <w:noProof/>
              </w:rPr>
            </w:r>
            <w:r>
              <w:rPr>
                <w:noProof/>
              </w:rPr>
              <w:fldChar w:fldCharType="separate"/>
            </w:r>
            <w:r>
              <w:rPr>
                <w:noProof/>
              </w:rPr>
              <w:t>7</w:t>
            </w:r>
            <w:r>
              <w:rPr>
                <w:noProof/>
              </w:rPr>
              <w:fldChar w:fldCharType="end"/>
            </w:r>
          </w:hyperlink>
        </w:p>
        <w:p w14:paraId="1786645B" w14:textId="77777777" w:rsidR="0050056A" w:rsidRDefault="0050056A">
          <w:pPr>
            <w:pStyle w:val="TOC3"/>
            <w:tabs>
              <w:tab w:val="right" w:leader="dot" w:pos="9016"/>
            </w:tabs>
            <w:rPr>
              <w:noProof/>
            </w:rPr>
          </w:pPr>
          <w:hyperlink w:anchor="_Toc228881675" w:history="1">
            <w:r w:rsidRPr="006F3362">
              <w:rPr>
                <w:rStyle w:val="Hyperlink"/>
                <w:noProof/>
              </w:rPr>
              <w:t>4.1.1 Burswood Cluster</w:t>
            </w:r>
            <w:r>
              <w:rPr>
                <w:noProof/>
              </w:rPr>
              <w:tab/>
            </w:r>
            <w:r>
              <w:rPr>
                <w:noProof/>
              </w:rPr>
              <w:fldChar w:fldCharType="begin"/>
            </w:r>
            <w:r>
              <w:rPr>
                <w:noProof/>
              </w:rPr>
              <w:instrText xml:space="preserve"> PAGEREF _Toc228881675 \h </w:instrText>
            </w:r>
            <w:r>
              <w:rPr>
                <w:noProof/>
              </w:rPr>
            </w:r>
            <w:r>
              <w:rPr>
                <w:noProof/>
              </w:rPr>
              <w:fldChar w:fldCharType="separate"/>
            </w:r>
            <w:r>
              <w:rPr>
                <w:noProof/>
              </w:rPr>
              <w:t>7</w:t>
            </w:r>
            <w:r>
              <w:rPr>
                <w:noProof/>
              </w:rPr>
              <w:fldChar w:fldCharType="end"/>
            </w:r>
          </w:hyperlink>
        </w:p>
        <w:p w14:paraId="19C4AB70" w14:textId="77777777" w:rsidR="0050056A" w:rsidRDefault="0050056A">
          <w:pPr>
            <w:pStyle w:val="TOC3"/>
            <w:tabs>
              <w:tab w:val="right" w:leader="dot" w:pos="9016"/>
            </w:tabs>
            <w:rPr>
              <w:noProof/>
            </w:rPr>
          </w:pPr>
          <w:hyperlink w:anchor="_Toc228881676" w:history="1">
            <w:r w:rsidRPr="006F3362">
              <w:rPr>
                <w:rStyle w:val="Hyperlink"/>
                <w:noProof/>
              </w:rPr>
              <w:t>4.1.2 Cottesloe-Fremantle Cluster</w:t>
            </w:r>
            <w:r>
              <w:rPr>
                <w:noProof/>
              </w:rPr>
              <w:tab/>
            </w:r>
            <w:r>
              <w:rPr>
                <w:noProof/>
              </w:rPr>
              <w:fldChar w:fldCharType="begin"/>
            </w:r>
            <w:r>
              <w:rPr>
                <w:noProof/>
              </w:rPr>
              <w:instrText xml:space="preserve"> PAGEREF _Toc228881676 \h </w:instrText>
            </w:r>
            <w:r>
              <w:rPr>
                <w:noProof/>
              </w:rPr>
            </w:r>
            <w:r>
              <w:rPr>
                <w:noProof/>
              </w:rPr>
              <w:fldChar w:fldCharType="separate"/>
            </w:r>
            <w:r>
              <w:rPr>
                <w:noProof/>
              </w:rPr>
              <w:t>7</w:t>
            </w:r>
            <w:r>
              <w:rPr>
                <w:noProof/>
              </w:rPr>
              <w:fldChar w:fldCharType="end"/>
            </w:r>
          </w:hyperlink>
        </w:p>
        <w:p w14:paraId="28F199E4" w14:textId="77777777" w:rsidR="0050056A" w:rsidRDefault="0050056A">
          <w:pPr>
            <w:pStyle w:val="TOC2"/>
            <w:tabs>
              <w:tab w:val="right" w:leader="dot" w:pos="9016"/>
            </w:tabs>
            <w:rPr>
              <w:noProof/>
            </w:rPr>
          </w:pPr>
          <w:hyperlink w:anchor="_Toc228881677" w:history="1">
            <w:r w:rsidRPr="006F3362">
              <w:rPr>
                <w:rStyle w:val="Hyperlink"/>
                <w:noProof/>
              </w:rPr>
              <w:t>4.2 Venue capacity forecasts</w:t>
            </w:r>
            <w:r>
              <w:rPr>
                <w:noProof/>
              </w:rPr>
              <w:tab/>
            </w:r>
            <w:r>
              <w:rPr>
                <w:noProof/>
              </w:rPr>
              <w:fldChar w:fldCharType="begin"/>
            </w:r>
            <w:r>
              <w:rPr>
                <w:noProof/>
              </w:rPr>
              <w:instrText xml:space="preserve"> PAGEREF _Toc228881677 \h </w:instrText>
            </w:r>
            <w:r>
              <w:rPr>
                <w:noProof/>
              </w:rPr>
            </w:r>
            <w:r>
              <w:rPr>
                <w:noProof/>
              </w:rPr>
              <w:fldChar w:fldCharType="separate"/>
            </w:r>
            <w:r>
              <w:rPr>
                <w:noProof/>
              </w:rPr>
              <w:t>7</w:t>
            </w:r>
            <w:r>
              <w:rPr>
                <w:noProof/>
              </w:rPr>
              <w:fldChar w:fldCharType="end"/>
            </w:r>
          </w:hyperlink>
        </w:p>
        <w:p w14:paraId="57A98E21" w14:textId="77777777" w:rsidR="0050056A" w:rsidRDefault="0050056A">
          <w:pPr>
            <w:pStyle w:val="TOC3"/>
            <w:tabs>
              <w:tab w:val="right" w:leader="dot" w:pos="9016"/>
            </w:tabs>
            <w:rPr>
              <w:noProof/>
            </w:rPr>
          </w:pPr>
          <w:hyperlink w:anchor="_Toc228881678" w:history="1">
            <w:r w:rsidRPr="006F3362">
              <w:rPr>
                <w:rStyle w:val="Hyperlink"/>
                <w:noProof/>
              </w:rPr>
              <w:t>4.2.1 Existing-venue uplift</w:t>
            </w:r>
            <w:r>
              <w:rPr>
                <w:noProof/>
              </w:rPr>
              <w:tab/>
            </w:r>
            <w:r>
              <w:rPr>
                <w:noProof/>
              </w:rPr>
              <w:fldChar w:fldCharType="begin"/>
            </w:r>
            <w:r>
              <w:rPr>
                <w:noProof/>
              </w:rPr>
              <w:instrText xml:space="preserve"> PAGEREF _Toc228881678 \h </w:instrText>
            </w:r>
            <w:r>
              <w:rPr>
                <w:noProof/>
              </w:rPr>
            </w:r>
            <w:r>
              <w:rPr>
                <w:noProof/>
              </w:rPr>
              <w:fldChar w:fldCharType="separate"/>
            </w:r>
            <w:r>
              <w:rPr>
                <w:noProof/>
              </w:rPr>
              <w:t>8</w:t>
            </w:r>
            <w:r>
              <w:rPr>
                <w:noProof/>
              </w:rPr>
              <w:fldChar w:fldCharType="end"/>
            </w:r>
          </w:hyperlink>
        </w:p>
        <w:p w14:paraId="1EBE5AB6" w14:textId="77777777" w:rsidR="0050056A" w:rsidRDefault="0050056A">
          <w:pPr>
            <w:pStyle w:val="TOC1"/>
            <w:tabs>
              <w:tab w:val="right" w:leader="dot" w:pos="9016"/>
            </w:tabs>
            <w:rPr>
              <w:noProof/>
            </w:rPr>
          </w:pPr>
          <w:hyperlink w:anchor="_Toc228881679" w:history="1">
            <w:r w:rsidRPr="006F3362">
              <w:rPr>
                <w:rStyle w:val="Hyperlink"/>
                <w:noProof/>
              </w:rPr>
              <w:t>5. Athletes' Village</w:t>
            </w:r>
            <w:r>
              <w:rPr>
                <w:noProof/>
              </w:rPr>
              <w:tab/>
            </w:r>
            <w:r>
              <w:rPr>
                <w:noProof/>
              </w:rPr>
              <w:fldChar w:fldCharType="begin"/>
            </w:r>
            <w:r>
              <w:rPr>
                <w:noProof/>
              </w:rPr>
              <w:instrText xml:space="preserve"> PAGEREF _Toc228881679 \h </w:instrText>
            </w:r>
            <w:r>
              <w:rPr>
                <w:noProof/>
              </w:rPr>
            </w:r>
            <w:r>
              <w:rPr>
                <w:noProof/>
              </w:rPr>
              <w:fldChar w:fldCharType="separate"/>
            </w:r>
            <w:r>
              <w:rPr>
                <w:noProof/>
              </w:rPr>
              <w:t>9</w:t>
            </w:r>
            <w:r>
              <w:rPr>
                <w:noProof/>
              </w:rPr>
              <w:fldChar w:fldCharType="end"/>
            </w:r>
          </w:hyperlink>
        </w:p>
        <w:p w14:paraId="07AABFFA" w14:textId="77777777" w:rsidR="0050056A" w:rsidRDefault="0050056A">
          <w:pPr>
            <w:pStyle w:val="TOC2"/>
            <w:tabs>
              <w:tab w:val="right" w:leader="dot" w:pos="9016"/>
            </w:tabs>
            <w:rPr>
              <w:noProof/>
            </w:rPr>
          </w:pPr>
          <w:hyperlink w:anchor="_Toc228881680" w:history="1">
            <w:r w:rsidRPr="006F3362">
              <w:rPr>
                <w:rStyle w:val="Hyperlink"/>
                <w:noProof/>
              </w:rPr>
              <w:t>5.1 Capacity and configuration</w:t>
            </w:r>
            <w:r>
              <w:rPr>
                <w:noProof/>
              </w:rPr>
              <w:tab/>
            </w:r>
            <w:r>
              <w:rPr>
                <w:noProof/>
              </w:rPr>
              <w:fldChar w:fldCharType="begin"/>
            </w:r>
            <w:r>
              <w:rPr>
                <w:noProof/>
              </w:rPr>
              <w:instrText xml:space="preserve"> PAGEREF _Toc228881680 \h </w:instrText>
            </w:r>
            <w:r>
              <w:rPr>
                <w:noProof/>
              </w:rPr>
            </w:r>
            <w:r>
              <w:rPr>
                <w:noProof/>
              </w:rPr>
              <w:fldChar w:fldCharType="separate"/>
            </w:r>
            <w:r>
              <w:rPr>
                <w:noProof/>
              </w:rPr>
              <w:t>9</w:t>
            </w:r>
            <w:r>
              <w:rPr>
                <w:noProof/>
              </w:rPr>
              <w:fldChar w:fldCharType="end"/>
            </w:r>
          </w:hyperlink>
        </w:p>
        <w:p w14:paraId="3C9394B7" w14:textId="77777777" w:rsidR="0050056A" w:rsidRDefault="0050056A">
          <w:pPr>
            <w:pStyle w:val="TOC2"/>
            <w:tabs>
              <w:tab w:val="right" w:leader="dot" w:pos="9016"/>
            </w:tabs>
            <w:rPr>
              <w:noProof/>
            </w:rPr>
          </w:pPr>
          <w:hyperlink w:anchor="_Toc228881681" w:history="1">
            <w:r w:rsidRPr="006F3362">
              <w:rPr>
                <w:rStyle w:val="Hyperlink"/>
                <w:noProof/>
              </w:rPr>
              <w:t>5.2 Services and amenities</w:t>
            </w:r>
            <w:r>
              <w:rPr>
                <w:noProof/>
              </w:rPr>
              <w:tab/>
            </w:r>
            <w:r>
              <w:rPr>
                <w:noProof/>
              </w:rPr>
              <w:fldChar w:fldCharType="begin"/>
            </w:r>
            <w:r>
              <w:rPr>
                <w:noProof/>
              </w:rPr>
              <w:instrText xml:space="preserve"> PAGEREF _Toc228881681 \h </w:instrText>
            </w:r>
            <w:r>
              <w:rPr>
                <w:noProof/>
              </w:rPr>
            </w:r>
            <w:r>
              <w:rPr>
                <w:noProof/>
              </w:rPr>
              <w:fldChar w:fldCharType="separate"/>
            </w:r>
            <w:r>
              <w:rPr>
                <w:noProof/>
              </w:rPr>
              <w:t>9</w:t>
            </w:r>
            <w:r>
              <w:rPr>
                <w:noProof/>
              </w:rPr>
              <w:fldChar w:fldCharType="end"/>
            </w:r>
          </w:hyperlink>
        </w:p>
        <w:p w14:paraId="04BD017B" w14:textId="77777777" w:rsidR="0050056A" w:rsidRDefault="0050056A">
          <w:pPr>
            <w:pStyle w:val="TOC2"/>
            <w:tabs>
              <w:tab w:val="right" w:leader="dot" w:pos="9016"/>
            </w:tabs>
            <w:rPr>
              <w:noProof/>
            </w:rPr>
          </w:pPr>
          <w:hyperlink w:anchor="_Toc228881682" w:history="1">
            <w:r w:rsidRPr="006F3362">
              <w:rPr>
                <w:rStyle w:val="Hyperlink"/>
                <w:noProof/>
              </w:rPr>
              <w:t>5.3 Post-Games legacy</w:t>
            </w:r>
            <w:r>
              <w:rPr>
                <w:noProof/>
              </w:rPr>
              <w:tab/>
            </w:r>
            <w:r>
              <w:rPr>
                <w:noProof/>
              </w:rPr>
              <w:fldChar w:fldCharType="begin"/>
            </w:r>
            <w:r>
              <w:rPr>
                <w:noProof/>
              </w:rPr>
              <w:instrText xml:space="preserve"> PAGEREF _Toc228881682 \h </w:instrText>
            </w:r>
            <w:r>
              <w:rPr>
                <w:noProof/>
              </w:rPr>
            </w:r>
            <w:r>
              <w:rPr>
                <w:noProof/>
              </w:rPr>
              <w:fldChar w:fldCharType="separate"/>
            </w:r>
            <w:r>
              <w:rPr>
                <w:noProof/>
              </w:rPr>
              <w:t>9</w:t>
            </w:r>
            <w:r>
              <w:rPr>
                <w:noProof/>
              </w:rPr>
              <w:fldChar w:fldCharType="end"/>
            </w:r>
          </w:hyperlink>
        </w:p>
        <w:p w14:paraId="61EE8CB8" w14:textId="77777777" w:rsidR="0050056A" w:rsidRDefault="0050056A">
          <w:pPr>
            <w:pStyle w:val="TOC2"/>
            <w:tabs>
              <w:tab w:val="right" w:leader="dot" w:pos="9016"/>
            </w:tabs>
            <w:rPr>
              <w:noProof/>
            </w:rPr>
          </w:pPr>
          <w:hyperlink w:anchor="_Toc228881683" w:history="1">
            <w:r w:rsidRPr="006F3362">
              <w:rPr>
                <w:rStyle w:val="Hyperlink"/>
                <w:noProof/>
              </w:rPr>
              <w:t>5.4 Quokka encounter programme</w:t>
            </w:r>
            <w:r>
              <w:rPr>
                <w:noProof/>
              </w:rPr>
              <w:tab/>
            </w:r>
            <w:r>
              <w:rPr>
                <w:noProof/>
              </w:rPr>
              <w:fldChar w:fldCharType="begin"/>
            </w:r>
            <w:r>
              <w:rPr>
                <w:noProof/>
              </w:rPr>
              <w:instrText xml:space="preserve"> PAGEREF _Toc228881683 \h </w:instrText>
            </w:r>
            <w:r>
              <w:rPr>
                <w:noProof/>
              </w:rPr>
            </w:r>
            <w:r>
              <w:rPr>
                <w:noProof/>
              </w:rPr>
              <w:fldChar w:fldCharType="separate"/>
            </w:r>
            <w:r>
              <w:rPr>
                <w:noProof/>
              </w:rPr>
              <w:t>9</w:t>
            </w:r>
            <w:r>
              <w:rPr>
                <w:noProof/>
              </w:rPr>
              <w:fldChar w:fldCharType="end"/>
            </w:r>
          </w:hyperlink>
        </w:p>
        <w:p w14:paraId="17996229" w14:textId="77777777" w:rsidR="0050056A" w:rsidRDefault="0050056A">
          <w:pPr>
            <w:pStyle w:val="TOC1"/>
            <w:tabs>
              <w:tab w:val="right" w:leader="dot" w:pos="9016"/>
            </w:tabs>
            <w:rPr>
              <w:noProof/>
            </w:rPr>
          </w:pPr>
          <w:hyperlink w:anchor="_Toc228881684" w:history="1">
            <w:r w:rsidRPr="006F3362">
              <w:rPr>
                <w:rStyle w:val="Hyperlink"/>
                <w:noProof/>
              </w:rPr>
              <w:t>6. Transport and Infrastructure</w:t>
            </w:r>
            <w:r>
              <w:rPr>
                <w:noProof/>
              </w:rPr>
              <w:tab/>
            </w:r>
            <w:r>
              <w:rPr>
                <w:noProof/>
              </w:rPr>
              <w:fldChar w:fldCharType="begin"/>
            </w:r>
            <w:r>
              <w:rPr>
                <w:noProof/>
              </w:rPr>
              <w:instrText xml:space="preserve"> PAGEREF _Toc228881684 \h </w:instrText>
            </w:r>
            <w:r>
              <w:rPr>
                <w:noProof/>
              </w:rPr>
            </w:r>
            <w:r>
              <w:rPr>
                <w:noProof/>
              </w:rPr>
              <w:fldChar w:fldCharType="separate"/>
            </w:r>
            <w:r>
              <w:rPr>
                <w:noProof/>
              </w:rPr>
              <w:t>11</w:t>
            </w:r>
            <w:r>
              <w:rPr>
                <w:noProof/>
              </w:rPr>
              <w:fldChar w:fldCharType="end"/>
            </w:r>
          </w:hyperlink>
        </w:p>
        <w:p w14:paraId="72578746" w14:textId="77777777" w:rsidR="0050056A" w:rsidRDefault="0050056A">
          <w:pPr>
            <w:pStyle w:val="TOC2"/>
            <w:tabs>
              <w:tab w:val="right" w:leader="dot" w:pos="9016"/>
            </w:tabs>
            <w:rPr>
              <w:noProof/>
            </w:rPr>
          </w:pPr>
          <w:hyperlink w:anchor="_Toc228881685" w:history="1">
            <w:r w:rsidRPr="006F3362">
              <w:rPr>
                <w:rStyle w:val="Hyperlink"/>
                <w:noProof/>
              </w:rPr>
              <w:t>6.1 Rail network</w:t>
            </w:r>
            <w:r>
              <w:rPr>
                <w:noProof/>
              </w:rPr>
              <w:tab/>
            </w:r>
            <w:r>
              <w:rPr>
                <w:noProof/>
              </w:rPr>
              <w:fldChar w:fldCharType="begin"/>
            </w:r>
            <w:r>
              <w:rPr>
                <w:noProof/>
              </w:rPr>
              <w:instrText xml:space="preserve"> PAGEREF _Toc228881685 \h </w:instrText>
            </w:r>
            <w:r>
              <w:rPr>
                <w:noProof/>
              </w:rPr>
            </w:r>
            <w:r>
              <w:rPr>
                <w:noProof/>
              </w:rPr>
              <w:fldChar w:fldCharType="separate"/>
            </w:r>
            <w:r>
              <w:rPr>
                <w:noProof/>
              </w:rPr>
              <w:t>11</w:t>
            </w:r>
            <w:r>
              <w:rPr>
                <w:noProof/>
              </w:rPr>
              <w:fldChar w:fldCharType="end"/>
            </w:r>
          </w:hyperlink>
        </w:p>
        <w:p w14:paraId="22ED741B" w14:textId="77777777" w:rsidR="0050056A" w:rsidRDefault="0050056A">
          <w:pPr>
            <w:pStyle w:val="TOC2"/>
            <w:tabs>
              <w:tab w:val="right" w:leader="dot" w:pos="9016"/>
            </w:tabs>
            <w:rPr>
              <w:noProof/>
            </w:rPr>
          </w:pPr>
          <w:hyperlink w:anchor="_Toc228881686" w:history="1">
            <w:r w:rsidRPr="006F3362">
              <w:rPr>
                <w:rStyle w:val="Hyperlink"/>
                <w:noProof/>
              </w:rPr>
              <w:t>6.2 Aviation capacity</w:t>
            </w:r>
            <w:r>
              <w:rPr>
                <w:noProof/>
              </w:rPr>
              <w:tab/>
            </w:r>
            <w:r>
              <w:rPr>
                <w:noProof/>
              </w:rPr>
              <w:fldChar w:fldCharType="begin"/>
            </w:r>
            <w:r>
              <w:rPr>
                <w:noProof/>
              </w:rPr>
              <w:instrText xml:space="preserve"> PAGEREF _Toc228881686 \h </w:instrText>
            </w:r>
            <w:r>
              <w:rPr>
                <w:noProof/>
              </w:rPr>
            </w:r>
            <w:r>
              <w:rPr>
                <w:noProof/>
              </w:rPr>
              <w:fldChar w:fldCharType="separate"/>
            </w:r>
            <w:r>
              <w:rPr>
                <w:noProof/>
              </w:rPr>
              <w:t>11</w:t>
            </w:r>
            <w:r>
              <w:rPr>
                <w:noProof/>
              </w:rPr>
              <w:fldChar w:fldCharType="end"/>
            </w:r>
          </w:hyperlink>
        </w:p>
        <w:p w14:paraId="0A8BE40A" w14:textId="77777777" w:rsidR="0050056A" w:rsidRDefault="0050056A">
          <w:pPr>
            <w:pStyle w:val="TOC2"/>
            <w:tabs>
              <w:tab w:val="right" w:leader="dot" w:pos="9016"/>
            </w:tabs>
            <w:rPr>
              <w:noProof/>
            </w:rPr>
          </w:pPr>
          <w:hyperlink w:anchor="_Toc228881687" w:history="1">
            <w:r w:rsidRPr="006F3362">
              <w:rPr>
                <w:rStyle w:val="Hyperlink"/>
                <w:noProof/>
              </w:rPr>
              <w:t>6.3 Maritime</w:t>
            </w:r>
            <w:r>
              <w:rPr>
                <w:noProof/>
              </w:rPr>
              <w:tab/>
            </w:r>
            <w:r>
              <w:rPr>
                <w:noProof/>
              </w:rPr>
              <w:fldChar w:fldCharType="begin"/>
            </w:r>
            <w:r>
              <w:rPr>
                <w:noProof/>
              </w:rPr>
              <w:instrText xml:space="preserve"> PAGEREF _Toc228881687 \h </w:instrText>
            </w:r>
            <w:r>
              <w:rPr>
                <w:noProof/>
              </w:rPr>
            </w:r>
            <w:r>
              <w:rPr>
                <w:noProof/>
              </w:rPr>
              <w:fldChar w:fldCharType="separate"/>
            </w:r>
            <w:r>
              <w:rPr>
                <w:noProof/>
              </w:rPr>
              <w:t>11</w:t>
            </w:r>
            <w:r>
              <w:rPr>
                <w:noProof/>
              </w:rPr>
              <w:fldChar w:fldCharType="end"/>
            </w:r>
          </w:hyperlink>
        </w:p>
        <w:p w14:paraId="33B7F7E6" w14:textId="77777777" w:rsidR="0050056A" w:rsidRDefault="0050056A">
          <w:pPr>
            <w:pStyle w:val="TOC2"/>
            <w:tabs>
              <w:tab w:val="right" w:leader="dot" w:pos="9016"/>
            </w:tabs>
            <w:rPr>
              <w:noProof/>
            </w:rPr>
          </w:pPr>
          <w:hyperlink w:anchor="_Toc228881688" w:history="1">
            <w:r w:rsidRPr="006F3362">
              <w:rPr>
                <w:rStyle w:val="Hyperlink"/>
                <w:noProof/>
              </w:rPr>
              <w:t>6.4 Olympic-lane overlay</w:t>
            </w:r>
            <w:r>
              <w:rPr>
                <w:noProof/>
              </w:rPr>
              <w:tab/>
            </w:r>
            <w:r>
              <w:rPr>
                <w:noProof/>
              </w:rPr>
              <w:fldChar w:fldCharType="begin"/>
            </w:r>
            <w:r>
              <w:rPr>
                <w:noProof/>
              </w:rPr>
              <w:instrText xml:space="preserve"> PAGEREF _Toc228881688 \h </w:instrText>
            </w:r>
            <w:r>
              <w:rPr>
                <w:noProof/>
              </w:rPr>
            </w:r>
            <w:r>
              <w:rPr>
                <w:noProof/>
              </w:rPr>
              <w:fldChar w:fldCharType="separate"/>
            </w:r>
            <w:r>
              <w:rPr>
                <w:noProof/>
              </w:rPr>
              <w:t>11</w:t>
            </w:r>
            <w:r>
              <w:rPr>
                <w:noProof/>
              </w:rPr>
              <w:fldChar w:fldCharType="end"/>
            </w:r>
          </w:hyperlink>
        </w:p>
        <w:p w14:paraId="33AE0919" w14:textId="77777777" w:rsidR="0050056A" w:rsidRDefault="0050056A">
          <w:pPr>
            <w:pStyle w:val="TOC1"/>
            <w:tabs>
              <w:tab w:val="right" w:leader="dot" w:pos="9016"/>
            </w:tabs>
            <w:rPr>
              <w:noProof/>
            </w:rPr>
          </w:pPr>
          <w:hyperlink w:anchor="_Toc228881689" w:history="1">
            <w:r w:rsidRPr="006F3362">
              <w:rPr>
                <w:rStyle w:val="Hyperlink"/>
                <w:noProof/>
              </w:rPr>
              <w:t>7. Sustainability and Legacy</w:t>
            </w:r>
            <w:r>
              <w:rPr>
                <w:noProof/>
              </w:rPr>
              <w:tab/>
            </w:r>
            <w:r>
              <w:rPr>
                <w:noProof/>
              </w:rPr>
              <w:fldChar w:fldCharType="begin"/>
            </w:r>
            <w:r>
              <w:rPr>
                <w:noProof/>
              </w:rPr>
              <w:instrText xml:space="preserve"> PAGEREF _Toc228881689 \h </w:instrText>
            </w:r>
            <w:r>
              <w:rPr>
                <w:noProof/>
              </w:rPr>
            </w:r>
            <w:r>
              <w:rPr>
                <w:noProof/>
              </w:rPr>
              <w:fldChar w:fldCharType="separate"/>
            </w:r>
            <w:r>
              <w:rPr>
                <w:noProof/>
              </w:rPr>
              <w:t>12</w:t>
            </w:r>
            <w:r>
              <w:rPr>
                <w:noProof/>
              </w:rPr>
              <w:fldChar w:fldCharType="end"/>
            </w:r>
          </w:hyperlink>
        </w:p>
        <w:p w14:paraId="369FD60E" w14:textId="77777777" w:rsidR="0050056A" w:rsidRDefault="0050056A">
          <w:pPr>
            <w:pStyle w:val="TOC2"/>
            <w:tabs>
              <w:tab w:val="right" w:leader="dot" w:pos="9016"/>
            </w:tabs>
            <w:rPr>
              <w:noProof/>
            </w:rPr>
          </w:pPr>
          <w:hyperlink w:anchor="_Toc228881690" w:history="1">
            <w:r w:rsidRPr="006F3362">
              <w:rPr>
                <w:rStyle w:val="Hyperlink"/>
                <w:noProof/>
              </w:rPr>
              <w:t>7.1 Carbon offsets and accounting</w:t>
            </w:r>
            <w:r>
              <w:rPr>
                <w:noProof/>
              </w:rPr>
              <w:tab/>
            </w:r>
            <w:r>
              <w:rPr>
                <w:noProof/>
              </w:rPr>
              <w:fldChar w:fldCharType="begin"/>
            </w:r>
            <w:r>
              <w:rPr>
                <w:noProof/>
              </w:rPr>
              <w:instrText xml:space="preserve"> PAGEREF _Toc228881690 \h </w:instrText>
            </w:r>
            <w:r>
              <w:rPr>
                <w:noProof/>
              </w:rPr>
            </w:r>
            <w:r>
              <w:rPr>
                <w:noProof/>
              </w:rPr>
              <w:fldChar w:fldCharType="separate"/>
            </w:r>
            <w:r>
              <w:rPr>
                <w:noProof/>
              </w:rPr>
              <w:t>12</w:t>
            </w:r>
            <w:r>
              <w:rPr>
                <w:noProof/>
              </w:rPr>
              <w:fldChar w:fldCharType="end"/>
            </w:r>
          </w:hyperlink>
        </w:p>
        <w:p w14:paraId="2CE3A5FD" w14:textId="77777777" w:rsidR="0050056A" w:rsidRDefault="0050056A">
          <w:pPr>
            <w:pStyle w:val="TOC2"/>
            <w:tabs>
              <w:tab w:val="right" w:leader="dot" w:pos="9016"/>
            </w:tabs>
            <w:rPr>
              <w:noProof/>
            </w:rPr>
          </w:pPr>
          <w:hyperlink w:anchor="_Toc228881691" w:history="1">
            <w:r w:rsidRPr="006F3362">
              <w:rPr>
                <w:rStyle w:val="Hyperlink"/>
                <w:noProof/>
              </w:rPr>
              <w:t>7.2 Wildlife conservation legacy</w:t>
            </w:r>
            <w:r>
              <w:rPr>
                <w:noProof/>
              </w:rPr>
              <w:tab/>
            </w:r>
            <w:r>
              <w:rPr>
                <w:noProof/>
              </w:rPr>
              <w:fldChar w:fldCharType="begin"/>
            </w:r>
            <w:r>
              <w:rPr>
                <w:noProof/>
              </w:rPr>
              <w:instrText xml:space="preserve"> PAGEREF _Toc228881691 \h </w:instrText>
            </w:r>
            <w:r>
              <w:rPr>
                <w:noProof/>
              </w:rPr>
            </w:r>
            <w:r>
              <w:rPr>
                <w:noProof/>
              </w:rPr>
              <w:fldChar w:fldCharType="separate"/>
            </w:r>
            <w:r>
              <w:rPr>
                <w:noProof/>
              </w:rPr>
              <w:t>12</w:t>
            </w:r>
            <w:r>
              <w:rPr>
                <w:noProof/>
              </w:rPr>
              <w:fldChar w:fldCharType="end"/>
            </w:r>
          </w:hyperlink>
        </w:p>
        <w:p w14:paraId="346398A7" w14:textId="77777777" w:rsidR="0050056A" w:rsidRDefault="0050056A">
          <w:pPr>
            <w:pStyle w:val="TOC2"/>
            <w:tabs>
              <w:tab w:val="right" w:leader="dot" w:pos="9016"/>
            </w:tabs>
            <w:rPr>
              <w:noProof/>
            </w:rPr>
          </w:pPr>
          <w:hyperlink w:anchor="_Toc228881692" w:history="1">
            <w:r w:rsidRPr="006F3362">
              <w:rPr>
                <w:rStyle w:val="Hyperlink"/>
                <w:noProof/>
              </w:rPr>
              <w:t>7.3 Construction sustainability</w:t>
            </w:r>
            <w:r>
              <w:rPr>
                <w:noProof/>
              </w:rPr>
              <w:tab/>
            </w:r>
            <w:r>
              <w:rPr>
                <w:noProof/>
              </w:rPr>
              <w:fldChar w:fldCharType="begin"/>
            </w:r>
            <w:r>
              <w:rPr>
                <w:noProof/>
              </w:rPr>
              <w:instrText xml:space="preserve"> PAGEREF _Toc228881692 \h </w:instrText>
            </w:r>
            <w:r>
              <w:rPr>
                <w:noProof/>
              </w:rPr>
            </w:r>
            <w:r>
              <w:rPr>
                <w:noProof/>
              </w:rPr>
              <w:fldChar w:fldCharType="separate"/>
            </w:r>
            <w:r>
              <w:rPr>
                <w:noProof/>
              </w:rPr>
              <w:t>12</w:t>
            </w:r>
            <w:r>
              <w:rPr>
                <w:noProof/>
              </w:rPr>
              <w:fldChar w:fldCharType="end"/>
            </w:r>
          </w:hyperlink>
        </w:p>
        <w:p w14:paraId="6BE40BEB" w14:textId="77777777" w:rsidR="0050056A" w:rsidRDefault="0050056A">
          <w:pPr>
            <w:pStyle w:val="TOC1"/>
            <w:tabs>
              <w:tab w:val="right" w:leader="dot" w:pos="9016"/>
            </w:tabs>
            <w:rPr>
              <w:noProof/>
            </w:rPr>
          </w:pPr>
          <w:hyperlink w:anchor="_Toc228881693" w:history="1">
            <w:r w:rsidRPr="006F3362">
              <w:rPr>
                <w:rStyle w:val="Hyperlink"/>
                <w:noProof/>
              </w:rPr>
              <w:t>8. Cultural Programme and Opening Ceremony</w:t>
            </w:r>
            <w:r>
              <w:rPr>
                <w:noProof/>
              </w:rPr>
              <w:tab/>
            </w:r>
            <w:r>
              <w:rPr>
                <w:noProof/>
              </w:rPr>
              <w:fldChar w:fldCharType="begin"/>
            </w:r>
            <w:r>
              <w:rPr>
                <w:noProof/>
              </w:rPr>
              <w:instrText xml:space="preserve"> PAGEREF _Toc228881693 \h </w:instrText>
            </w:r>
            <w:r>
              <w:rPr>
                <w:noProof/>
              </w:rPr>
            </w:r>
            <w:r>
              <w:rPr>
                <w:noProof/>
              </w:rPr>
              <w:fldChar w:fldCharType="separate"/>
            </w:r>
            <w:r>
              <w:rPr>
                <w:noProof/>
              </w:rPr>
              <w:t>13</w:t>
            </w:r>
            <w:r>
              <w:rPr>
                <w:noProof/>
              </w:rPr>
              <w:fldChar w:fldCharType="end"/>
            </w:r>
          </w:hyperlink>
        </w:p>
        <w:p w14:paraId="26AA1AA1" w14:textId="77777777" w:rsidR="0050056A" w:rsidRDefault="0050056A">
          <w:pPr>
            <w:pStyle w:val="TOC2"/>
            <w:tabs>
              <w:tab w:val="right" w:leader="dot" w:pos="9016"/>
            </w:tabs>
            <w:rPr>
              <w:noProof/>
            </w:rPr>
          </w:pPr>
          <w:hyperlink w:anchor="_Toc228881694" w:history="1">
            <w:r w:rsidRPr="006F3362">
              <w:rPr>
                <w:rStyle w:val="Hyperlink"/>
                <w:noProof/>
              </w:rPr>
              <w:t>8.1 Whadjuk Noongar cultural sequence</w:t>
            </w:r>
            <w:r>
              <w:rPr>
                <w:noProof/>
              </w:rPr>
              <w:tab/>
            </w:r>
            <w:r>
              <w:rPr>
                <w:noProof/>
              </w:rPr>
              <w:fldChar w:fldCharType="begin"/>
            </w:r>
            <w:r>
              <w:rPr>
                <w:noProof/>
              </w:rPr>
              <w:instrText xml:space="preserve"> PAGEREF _Toc228881694 \h </w:instrText>
            </w:r>
            <w:r>
              <w:rPr>
                <w:noProof/>
              </w:rPr>
            </w:r>
            <w:r>
              <w:rPr>
                <w:noProof/>
              </w:rPr>
              <w:fldChar w:fldCharType="separate"/>
            </w:r>
            <w:r>
              <w:rPr>
                <w:noProof/>
              </w:rPr>
              <w:t>13</w:t>
            </w:r>
            <w:r>
              <w:rPr>
                <w:noProof/>
              </w:rPr>
              <w:fldChar w:fldCharType="end"/>
            </w:r>
          </w:hyperlink>
        </w:p>
        <w:p w14:paraId="66CC4776" w14:textId="77777777" w:rsidR="0050056A" w:rsidRDefault="0050056A">
          <w:pPr>
            <w:pStyle w:val="TOC2"/>
            <w:tabs>
              <w:tab w:val="right" w:leader="dot" w:pos="9016"/>
            </w:tabs>
            <w:rPr>
              <w:noProof/>
            </w:rPr>
          </w:pPr>
          <w:hyperlink w:anchor="_Toc228881695" w:history="1">
            <w:r w:rsidRPr="006F3362">
              <w:rPr>
                <w:rStyle w:val="Hyperlink"/>
                <w:noProof/>
              </w:rPr>
              <w:t>8.2 Mascot engagement strategy</w:t>
            </w:r>
            <w:r>
              <w:rPr>
                <w:noProof/>
              </w:rPr>
              <w:tab/>
            </w:r>
            <w:r>
              <w:rPr>
                <w:noProof/>
              </w:rPr>
              <w:fldChar w:fldCharType="begin"/>
            </w:r>
            <w:r>
              <w:rPr>
                <w:noProof/>
              </w:rPr>
              <w:instrText xml:space="preserve"> PAGEREF _Toc228881695 \h </w:instrText>
            </w:r>
            <w:r>
              <w:rPr>
                <w:noProof/>
              </w:rPr>
            </w:r>
            <w:r>
              <w:rPr>
                <w:noProof/>
              </w:rPr>
              <w:fldChar w:fldCharType="separate"/>
            </w:r>
            <w:r>
              <w:rPr>
                <w:noProof/>
              </w:rPr>
              <w:t>13</w:t>
            </w:r>
            <w:r>
              <w:rPr>
                <w:noProof/>
              </w:rPr>
              <w:fldChar w:fldCharType="end"/>
            </w:r>
          </w:hyperlink>
        </w:p>
        <w:p w14:paraId="45DE63D1" w14:textId="77777777" w:rsidR="0050056A" w:rsidRDefault="0050056A">
          <w:pPr>
            <w:pStyle w:val="TOC3"/>
            <w:tabs>
              <w:tab w:val="right" w:leader="dot" w:pos="9016"/>
            </w:tabs>
            <w:rPr>
              <w:noProof/>
            </w:rPr>
          </w:pPr>
          <w:hyperlink w:anchor="_Toc228881696" w:history="1">
            <w:r w:rsidRPr="006F3362">
              <w:rPr>
                <w:rStyle w:val="Hyperlink"/>
                <w:noProof/>
              </w:rPr>
              <w:t>8.2.1 Brand foundation</w:t>
            </w:r>
            <w:r>
              <w:rPr>
                <w:noProof/>
              </w:rPr>
              <w:tab/>
            </w:r>
            <w:r>
              <w:rPr>
                <w:noProof/>
              </w:rPr>
              <w:fldChar w:fldCharType="begin"/>
            </w:r>
            <w:r>
              <w:rPr>
                <w:noProof/>
              </w:rPr>
              <w:instrText xml:space="preserve"> PAGEREF _Toc228881696 \h </w:instrText>
            </w:r>
            <w:r>
              <w:rPr>
                <w:noProof/>
              </w:rPr>
            </w:r>
            <w:r>
              <w:rPr>
                <w:noProof/>
              </w:rPr>
              <w:fldChar w:fldCharType="separate"/>
            </w:r>
            <w:r>
              <w:rPr>
                <w:noProof/>
              </w:rPr>
              <w:t>13</w:t>
            </w:r>
            <w:r>
              <w:rPr>
                <w:noProof/>
              </w:rPr>
              <w:fldChar w:fldCharType="end"/>
            </w:r>
          </w:hyperlink>
        </w:p>
        <w:p w14:paraId="7FA81C9E" w14:textId="77777777" w:rsidR="0050056A" w:rsidRDefault="0050056A">
          <w:pPr>
            <w:pStyle w:val="TOC3"/>
            <w:tabs>
              <w:tab w:val="right" w:leader="dot" w:pos="9016"/>
            </w:tabs>
            <w:rPr>
              <w:noProof/>
            </w:rPr>
          </w:pPr>
          <w:hyperlink w:anchor="_Toc228881697" w:history="1">
            <w:r w:rsidRPr="006F3362">
              <w:rPr>
                <w:rStyle w:val="Hyperlink"/>
                <w:noProof/>
              </w:rPr>
              <w:t>8.2.2 Conservation context</w:t>
            </w:r>
            <w:r>
              <w:rPr>
                <w:noProof/>
              </w:rPr>
              <w:tab/>
            </w:r>
            <w:r>
              <w:rPr>
                <w:noProof/>
              </w:rPr>
              <w:fldChar w:fldCharType="begin"/>
            </w:r>
            <w:r>
              <w:rPr>
                <w:noProof/>
              </w:rPr>
              <w:instrText xml:space="preserve"> PAGEREF _Toc228881697 \h </w:instrText>
            </w:r>
            <w:r>
              <w:rPr>
                <w:noProof/>
              </w:rPr>
            </w:r>
            <w:r>
              <w:rPr>
                <w:noProof/>
              </w:rPr>
              <w:fldChar w:fldCharType="separate"/>
            </w:r>
            <w:r>
              <w:rPr>
                <w:noProof/>
              </w:rPr>
              <w:t>13</w:t>
            </w:r>
            <w:r>
              <w:rPr>
                <w:noProof/>
              </w:rPr>
              <w:fldChar w:fldCharType="end"/>
            </w:r>
          </w:hyperlink>
        </w:p>
        <w:p w14:paraId="6F5ED57A" w14:textId="77777777" w:rsidR="0050056A" w:rsidRDefault="0050056A">
          <w:pPr>
            <w:pStyle w:val="TOC3"/>
            <w:tabs>
              <w:tab w:val="right" w:leader="dot" w:pos="9016"/>
            </w:tabs>
            <w:rPr>
              <w:noProof/>
            </w:rPr>
          </w:pPr>
          <w:hyperlink w:anchor="_Toc228881698" w:history="1">
            <w:r w:rsidRPr="006F3362">
              <w:rPr>
                <w:rStyle w:val="Hyperlink"/>
                <w:noProof/>
              </w:rPr>
              <w:t>8.2.3 International visibility</w:t>
            </w:r>
            <w:r>
              <w:rPr>
                <w:noProof/>
              </w:rPr>
              <w:tab/>
            </w:r>
            <w:r>
              <w:rPr>
                <w:noProof/>
              </w:rPr>
              <w:fldChar w:fldCharType="begin"/>
            </w:r>
            <w:r>
              <w:rPr>
                <w:noProof/>
              </w:rPr>
              <w:instrText xml:space="preserve"> PAGEREF _Toc228881698 \h </w:instrText>
            </w:r>
            <w:r>
              <w:rPr>
                <w:noProof/>
              </w:rPr>
            </w:r>
            <w:r>
              <w:rPr>
                <w:noProof/>
              </w:rPr>
              <w:fldChar w:fldCharType="separate"/>
            </w:r>
            <w:r>
              <w:rPr>
                <w:noProof/>
              </w:rPr>
              <w:t>13</w:t>
            </w:r>
            <w:r>
              <w:rPr>
                <w:noProof/>
              </w:rPr>
              <w:fldChar w:fldCharType="end"/>
            </w:r>
          </w:hyperlink>
        </w:p>
        <w:p w14:paraId="2430A1BB" w14:textId="77777777" w:rsidR="0050056A" w:rsidRDefault="0050056A">
          <w:pPr>
            <w:pStyle w:val="TOC3"/>
            <w:tabs>
              <w:tab w:val="right" w:leader="dot" w:pos="9016"/>
            </w:tabs>
            <w:rPr>
              <w:noProof/>
            </w:rPr>
          </w:pPr>
          <w:hyperlink w:anchor="_Toc228881699" w:history="1">
            <w:r w:rsidRPr="006F3362">
              <w:rPr>
                <w:rStyle w:val="Hyperlink"/>
                <w:noProof/>
              </w:rPr>
              <w:t>8.2.4 Image rights and protection</w:t>
            </w:r>
            <w:r>
              <w:rPr>
                <w:noProof/>
              </w:rPr>
              <w:tab/>
            </w:r>
            <w:r>
              <w:rPr>
                <w:noProof/>
              </w:rPr>
              <w:fldChar w:fldCharType="begin"/>
            </w:r>
            <w:r>
              <w:rPr>
                <w:noProof/>
              </w:rPr>
              <w:instrText xml:space="preserve"> PAGEREF _Toc228881699 \h </w:instrText>
            </w:r>
            <w:r>
              <w:rPr>
                <w:noProof/>
              </w:rPr>
            </w:r>
            <w:r>
              <w:rPr>
                <w:noProof/>
              </w:rPr>
              <w:fldChar w:fldCharType="separate"/>
            </w:r>
            <w:r>
              <w:rPr>
                <w:noProof/>
              </w:rPr>
              <w:t>14</w:t>
            </w:r>
            <w:r>
              <w:rPr>
                <w:noProof/>
              </w:rPr>
              <w:fldChar w:fldCharType="end"/>
            </w:r>
          </w:hyperlink>
        </w:p>
        <w:p w14:paraId="78B958E0" w14:textId="77777777" w:rsidR="0050056A" w:rsidRDefault="0050056A">
          <w:pPr>
            <w:pStyle w:val="TOC2"/>
            <w:tabs>
              <w:tab w:val="right" w:leader="dot" w:pos="9016"/>
            </w:tabs>
            <w:rPr>
              <w:noProof/>
            </w:rPr>
          </w:pPr>
          <w:hyperlink w:anchor="_Toc228881700" w:history="1">
            <w:r w:rsidRPr="006F3362">
              <w:rPr>
                <w:rStyle w:val="Hyperlink"/>
                <w:noProof/>
              </w:rPr>
              <w:t>8.3 Contemporary arts programme</w:t>
            </w:r>
            <w:r>
              <w:rPr>
                <w:noProof/>
              </w:rPr>
              <w:tab/>
            </w:r>
            <w:r>
              <w:rPr>
                <w:noProof/>
              </w:rPr>
              <w:fldChar w:fldCharType="begin"/>
            </w:r>
            <w:r>
              <w:rPr>
                <w:noProof/>
              </w:rPr>
              <w:instrText xml:space="preserve"> PAGEREF _Toc228881700 \h </w:instrText>
            </w:r>
            <w:r>
              <w:rPr>
                <w:noProof/>
              </w:rPr>
            </w:r>
            <w:r>
              <w:rPr>
                <w:noProof/>
              </w:rPr>
              <w:fldChar w:fldCharType="separate"/>
            </w:r>
            <w:r>
              <w:rPr>
                <w:noProof/>
              </w:rPr>
              <w:t>14</w:t>
            </w:r>
            <w:r>
              <w:rPr>
                <w:noProof/>
              </w:rPr>
              <w:fldChar w:fldCharType="end"/>
            </w:r>
          </w:hyperlink>
        </w:p>
        <w:p w14:paraId="79937053" w14:textId="77777777" w:rsidR="0050056A" w:rsidRDefault="0050056A">
          <w:pPr>
            <w:pStyle w:val="TOC2"/>
            <w:tabs>
              <w:tab w:val="right" w:leader="dot" w:pos="9016"/>
            </w:tabs>
            <w:rPr>
              <w:noProof/>
            </w:rPr>
          </w:pPr>
          <w:hyperlink w:anchor="_Toc228881701" w:history="1">
            <w:r w:rsidRPr="006F3362">
              <w:rPr>
                <w:rStyle w:val="Hyperlink"/>
                <w:noProof/>
              </w:rPr>
              <w:t>8.4 Opening Ceremony runsheet</w:t>
            </w:r>
            <w:r>
              <w:rPr>
                <w:noProof/>
              </w:rPr>
              <w:tab/>
            </w:r>
            <w:r>
              <w:rPr>
                <w:noProof/>
              </w:rPr>
              <w:fldChar w:fldCharType="begin"/>
            </w:r>
            <w:r>
              <w:rPr>
                <w:noProof/>
              </w:rPr>
              <w:instrText xml:space="preserve"> PAGEREF _Toc228881701 \h </w:instrText>
            </w:r>
            <w:r>
              <w:rPr>
                <w:noProof/>
              </w:rPr>
            </w:r>
            <w:r>
              <w:rPr>
                <w:noProof/>
              </w:rPr>
              <w:fldChar w:fldCharType="separate"/>
            </w:r>
            <w:r>
              <w:rPr>
                <w:noProof/>
              </w:rPr>
              <w:t>14</w:t>
            </w:r>
            <w:r>
              <w:rPr>
                <w:noProof/>
              </w:rPr>
              <w:fldChar w:fldCharType="end"/>
            </w:r>
          </w:hyperlink>
        </w:p>
        <w:p w14:paraId="2849102C" w14:textId="77777777" w:rsidR="0050056A" w:rsidRDefault="0050056A">
          <w:pPr>
            <w:pStyle w:val="TOC1"/>
            <w:tabs>
              <w:tab w:val="right" w:leader="dot" w:pos="9016"/>
            </w:tabs>
            <w:rPr>
              <w:noProof/>
            </w:rPr>
          </w:pPr>
          <w:hyperlink w:anchor="_Toc228881702" w:history="1">
            <w:r w:rsidRPr="006F3362">
              <w:rPr>
                <w:rStyle w:val="Hyperlink"/>
                <w:noProof/>
              </w:rPr>
              <w:t>9. Financial Plan</w:t>
            </w:r>
            <w:r>
              <w:rPr>
                <w:noProof/>
              </w:rPr>
              <w:tab/>
            </w:r>
            <w:r>
              <w:rPr>
                <w:noProof/>
              </w:rPr>
              <w:fldChar w:fldCharType="begin"/>
            </w:r>
            <w:r>
              <w:rPr>
                <w:noProof/>
              </w:rPr>
              <w:instrText xml:space="preserve"> PAGEREF _Toc228881702 \h </w:instrText>
            </w:r>
            <w:r>
              <w:rPr>
                <w:noProof/>
              </w:rPr>
            </w:r>
            <w:r>
              <w:rPr>
                <w:noProof/>
              </w:rPr>
              <w:fldChar w:fldCharType="separate"/>
            </w:r>
            <w:r>
              <w:rPr>
                <w:noProof/>
              </w:rPr>
              <w:t>16</w:t>
            </w:r>
            <w:r>
              <w:rPr>
                <w:noProof/>
              </w:rPr>
              <w:fldChar w:fldCharType="end"/>
            </w:r>
          </w:hyperlink>
        </w:p>
        <w:p w14:paraId="15FE30BE" w14:textId="77777777" w:rsidR="0050056A" w:rsidRDefault="0050056A">
          <w:pPr>
            <w:pStyle w:val="TOC2"/>
            <w:tabs>
              <w:tab w:val="right" w:leader="dot" w:pos="9016"/>
            </w:tabs>
            <w:rPr>
              <w:noProof/>
            </w:rPr>
          </w:pPr>
          <w:hyperlink w:anchor="_Toc228881703" w:history="1">
            <w:r w:rsidRPr="006F3362">
              <w:rPr>
                <w:rStyle w:val="Hyperlink"/>
                <w:noProof/>
              </w:rPr>
              <w:t>9.1 Cost summary</w:t>
            </w:r>
            <w:r>
              <w:rPr>
                <w:noProof/>
              </w:rPr>
              <w:tab/>
            </w:r>
            <w:r>
              <w:rPr>
                <w:noProof/>
              </w:rPr>
              <w:fldChar w:fldCharType="begin"/>
            </w:r>
            <w:r>
              <w:rPr>
                <w:noProof/>
              </w:rPr>
              <w:instrText xml:space="preserve"> PAGEREF _Toc228881703 \h </w:instrText>
            </w:r>
            <w:r>
              <w:rPr>
                <w:noProof/>
              </w:rPr>
            </w:r>
            <w:r>
              <w:rPr>
                <w:noProof/>
              </w:rPr>
              <w:fldChar w:fldCharType="separate"/>
            </w:r>
            <w:r>
              <w:rPr>
                <w:noProof/>
              </w:rPr>
              <w:t>16</w:t>
            </w:r>
            <w:r>
              <w:rPr>
                <w:noProof/>
              </w:rPr>
              <w:fldChar w:fldCharType="end"/>
            </w:r>
          </w:hyperlink>
        </w:p>
        <w:p w14:paraId="53A0AACF" w14:textId="77777777" w:rsidR="0050056A" w:rsidRDefault="0050056A">
          <w:pPr>
            <w:pStyle w:val="TOC2"/>
            <w:tabs>
              <w:tab w:val="right" w:leader="dot" w:pos="9016"/>
            </w:tabs>
            <w:rPr>
              <w:noProof/>
            </w:rPr>
          </w:pPr>
          <w:hyperlink w:anchor="_Toc228881704" w:history="1">
            <w:r w:rsidRPr="006F3362">
              <w:rPr>
                <w:rStyle w:val="Hyperlink"/>
                <w:noProof/>
              </w:rPr>
              <w:t>9.2 Revenue model</w:t>
            </w:r>
            <w:r>
              <w:rPr>
                <w:noProof/>
              </w:rPr>
              <w:tab/>
            </w:r>
            <w:r>
              <w:rPr>
                <w:noProof/>
              </w:rPr>
              <w:fldChar w:fldCharType="begin"/>
            </w:r>
            <w:r>
              <w:rPr>
                <w:noProof/>
              </w:rPr>
              <w:instrText xml:space="preserve"> PAGEREF _Toc228881704 \h </w:instrText>
            </w:r>
            <w:r>
              <w:rPr>
                <w:noProof/>
              </w:rPr>
            </w:r>
            <w:r>
              <w:rPr>
                <w:noProof/>
              </w:rPr>
              <w:fldChar w:fldCharType="separate"/>
            </w:r>
            <w:r>
              <w:rPr>
                <w:noProof/>
              </w:rPr>
              <w:t>16</w:t>
            </w:r>
            <w:r>
              <w:rPr>
                <w:noProof/>
              </w:rPr>
              <w:fldChar w:fldCharType="end"/>
            </w:r>
          </w:hyperlink>
        </w:p>
        <w:p w14:paraId="55C5B378" w14:textId="77777777" w:rsidR="0050056A" w:rsidRDefault="0050056A">
          <w:pPr>
            <w:pStyle w:val="TOC2"/>
            <w:tabs>
              <w:tab w:val="right" w:leader="dot" w:pos="9016"/>
            </w:tabs>
            <w:rPr>
              <w:noProof/>
            </w:rPr>
          </w:pPr>
          <w:hyperlink w:anchor="_Toc228881705" w:history="1">
            <w:r w:rsidRPr="006F3362">
              <w:rPr>
                <w:rStyle w:val="Hyperlink"/>
                <w:noProof/>
              </w:rPr>
              <w:t>9.3 Risk-adjusted contingency</w:t>
            </w:r>
            <w:r>
              <w:rPr>
                <w:noProof/>
              </w:rPr>
              <w:tab/>
            </w:r>
            <w:r>
              <w:rPr>
                <w:noProof/>
              </w:rPr>
              <w:fldChar w:fldCharType="begin"/>
            </w:r>
            <w:r>
              <w:rPr>
                <w:noProof/>
              </w:rPr>
              <w:instrText xml:space="preserve"> PAGEREF _Toc228881705 \h </w:instrText>
            </w:r>
            <w:r>
              <w:rPr>
                <w:noProof/>
              </w:rPr>
            </w:r>
            <w:r>
              <w:rPr>
                <w:noProof/>
              </w:rPr>
              <w:fldChar w:fldCharType="separate"/>
            </w:r>
            <w:r>
              <w:rPr>
                <w:noProof/>
              </w:rPr>
              <w:t>17</w:t>
            </w:r>
            <w:r>
              <w:rPr>
                <w:noProof/>
              </w:rPr>
              <w:fldChar w:fldCharType="end"/>
            </w:r>
          </w:hyperlink>
        </w:p>
        <w:p w14:paraId="1C82EE7E" w14:textId="77777777" w:rsidR="0050056A" w:rsidRDefault="0050056A">
          <w:pPr>
            <w:pStyle w:val="TOC1"/>
            <w:tabs>
              <w:tab w:val="right" w:leader="dot" w:pos="9016"/>
            </w:tabs>
            <w:rPr>
              <w:noProof/>
            </w:rPr>
          </w:pPr>
          <w:hyperlink w:anchor="_Toc228881706" w:history="1">
            <w:r w:rsidRPr="006F3362">
              <w:rPr>
                <w:rStyle w:val="Hyperlink"/>
                <w:noProof/>
              </w:rPr>
              <w:t>10. Governance and Risk Management</w:t>
            </w:r>
            <w:r>
              <w:rPr>
                <w:noProof/>
              </w:rPr>
              <w:tab/>
            </w:r>
            <w:r>
              <w:rPr>
                <w:noProof/>
              </w:rPr>
              <w:fldChar w:fldCharType="begin"/>
            </w:r>
            <w:r>
              <w:rPr>
                <w:noProof/>
              </w:rPr>
              <w:instrText xml:space="preserve"> PAGEREF _Toc228881706 \h </w:instrText>
            </w:r>
            <w:r>
              <w:rPr>
                <w:noProof/>
              </w:rPr>
            </w:r>
            <w:r>
              <w:rPr>
                <w:noProof/>
              </w:rPr>
              <w:fldChar w:fldCharType="separate"/>
            </w:r>
            <w:r>
              <w:rPr>
                <w:noProof/>
              </w:rPr>
              <w:t>18</w:t>
            </w:r>
            <w:r>
              <w:rPr>
                <w:noProof/>
              </w:rPr>
              <w:fldChar w:fldCharType="end"/>
            </w:r>
          </w:hyperlink>
        </w:p>
        <w:p w14:paraId="660420D4" w14:textId="77777777" w:rsidR="0050056A" w:rsidRDefault="0050056A">
          <w:pPr>
            <w:pStyle w:val="TOC2"/>
            <w:tabs>
              <w:tab w:val="right" w:leader="dot" w:pos="9016"/>
            </w:tabs>
            <w:rPr>
              <w:noProof/>
            </w:rPr>
          </w:pPr>
          <w:hyperlink w:anchor="_Toc228881707" w:history="1">
            <w:r w:rsidRPr="006F3362">
              <w:rPr>
                <w:rStyle w:val="Hyperlink"/>
                <w:noProof/>
              </w:rPr>
              <w:t>10.1 Risk register</w:t>
            </w:r>
            <w:r>
              <w:rPr>
                <w:noProof/>
              </w:rPr>
              <w:tab/>
            </w:r>
            <w:r>
              <w:rPr>
                <w:noProof/>
              </w:rPr>
              <w:fldChar w:fldCharType="begin"/>
            </w:r>
            <w:r>
              <w:rPr>
                <w:noProof/>
              </w:rPr>
              <w:instrText xml:space="preserve"> PAGEREF _Toc228881707 \h </w:instrText>
            </w:r>
            <w:r>
              <w:rPr>
                <w:noProof/>
              </w:rPr>
            </w:r>
            <w:r>
              <w:rPr>
                <w:noProof/>
              </w:rPr>
              <w:fldChar w:fldCharType="separate"/>
            </w:r>
            <w:r>
              <w:rPr>
                <w:noProof/>
              </w:rPr>
              <w:t>18</w:t>
            </w:r>
            <w:r>
              <w:rPr>
                <w:noProof/>
              </w:rPr>
              <w:fldChar w:fldCharType="end"/>
            </w:r>
          </w:hyperlink>
        </w:p>
        <w:p w14:paraId="476C42AD" w14:textId="77777777" w:rsidR="0050056A" w:rsidRDefault="0050056A">
          <w:pPr>
            <w:pStyle w:val="TOC2"/>
            <w:tabs>
              <w:tab w:val="right" w:leader="dot" w:pos="9016"/>
            </w:tabs>
            <w:rPr>
              <w:noProof/>
            </w:rPr>
          </w:pPr>
          <w:hyperlink w:anchor="_Toc228881708" w:history="1">
            <w:r w:rsidRPr="006F3362">
              <w:rPr>
                <w:rStyle w:val="Hyperlink"/>
                <w:noProof/>
              </w:rPr>
              <w:t>10.2 Reporting and accountability</w:t>
            </w:r>
            <w:r>
              <w:rPr>
                <w:noProof/>
              </w:rPr>
              <w:tab/>
            </w:r>
            <w:r>
              <w:rPr>
                <w:noProof/>
              </w:rPr>
              <w:fldChar w:fldCharType="begin"/>
            </w:r>
            <w:r>
              <w:rPr>
                <w:noProof/>
              </w:rPr>
              <w:instrText xml:space="preserve"> PAGEREF _Toc228881708 \h </w:instrText>
            </w:r>
            <w:r>
              <w:rPr>
                <w:noProof/>
              </w:rPr>
            </w:r>
            <w:r>
              <w:rPr>
                <w:noProof/>
              </w:rPr>
              <w:fldChar w:fldCharType="separate"/>
            </w:r>
            <w:r>
              <w:rPr>
                <w:noProof/>
              </w:rPr>
              <w:t>18</w:t>
            </w:r>
            <w:r>
              <w:rPr>
                <w:noProof/>
              </w:rPr>
              <w:fldChar w:fldCharType="end"/>
            </w:r>
          </w:hyperlink>
        </w:p>
        <w:p w14:paraId="1F46C2A3" w14:textId="77777777" w:rsidR="0050056A" w:rsidRDefault="0050056A">
          <w:pPr>
            <w:pStyle w:val="TOC2"/>
            <w:tabs>
              <w:tab w:val="right" w:leader="dot" w:pos="9016"/>
            </w:tabs>
            <w:rPr>
              <w:noProof/>
            </w:rPr>
          </w:pPr>
          <w:hyperlink w:anchor="_Toc228881709" w:history="1">
            <w:r w:rsidRPr="006F3362">
              <w:rPr>
                <w:rStyle w:val="Hyperlink"/>
                <w:noProof/>
              </w:rPr>
              <w:t>10.3 Brand and reputation governance</w:t>
            </w:r>
            <w:r>
              <w:rPr>
                <w:noProof/>
              </w:rPr>
              <w:tab/>
            </w:r>
            <w:r>
              <w:rPr>
                <w:noProof/>
              </w:rPr>
              <w:fldChar w:fldCharType="begin"/>
            </w:r>
            <w:r>
              <w:rPr>
                <w:noProof/>
              </w:rPr>
              <w:instrText xml:space="preserve"> PAGEREF _Toc228881709 \h </w:instrText>
            </w:r>
            <w:r>
              <w:rPr>
                <w:noProof/>
              </w:rPr>
            </w:r>
            <w:r>
              <w:rPr>
                <w:noProof/>
              </w:rPr>
              <w:fldChar w:fldCharType="separate"/>
            </w:r>
            <w:r>
              <w:rPr>
                <w:noProof/>
              </w:rPr>
              <w:t>19</w:t>
            </w:r>
            <w:r>
              <w:rPr>
                <w:noProof/>
              </w:rPr>
              <w:fldChar w:fldCharType="end"/>
            </w:r>
          </w:hyperlink>
        </w:p>
        <w:p w14:paraId="78A5AE3E" w14:textId="77777777" w:rsidR="0050056A" w:rsidRDefault="0050056A">
          <w:pPr>
            <w:pStyle w:val="TOC1"/>
            <w:tabs>
              <w:tab w:val="right" w:leader="dot" w:pos="9016"/>
            </w:tabs>
            <w:rPr>
              <w:noProof/>
            </w:rPr>
          </w:pPr>
          <w:hyperlink w:anchor="_Toc228881710" w:history="1">
            <w:r w:rsidRPr="006F3362">
              <w:rPr>
                <w:rStyle w:val="Hyperlink"/>
                <w:noProof/>
              </w:rPr>
              <w:t>A. Annex A — Letters of Support</w:t>
            </w:r>
            <w:r>
              <w:rPr>
                <w:noProof/>
              </w:rPr>
              <w:tab/>
            </w:r>
            <w:r>
              <w:rPr>
                <w:noProof/>
              </w:rPr>
              <w:fldChar w:fldCharType="begin"/>
            </w:r>
            <w:r>
              <w:rPr>
                <w:noProof/>
              </w:rPr>
              <w:instrText xml:space="preserve"> PAGEREF _Toc228881710 \h </w:instrText>
            </w:r>
            <w:r>
              <w:rPr>
                <w:noProof/>
              </w:rPr>
            </w:r>
            <w:r>
              <w:rPr>
                <w:noProof/>
              </w:rPr>
              <w:fldChar w:fldCharType="separate"/>
            </w:r>
            <w:r>
              <w:rPr>
                <w:noProof/>
              </w:rPr>
              <w:t>20</w:t>
            </w:r>
            <w:r>
              <w:rPr>
                <w:noProof/>
              </w:rPr>
              <w:fldChar w:fldCharType="end"/>
            </w:r>
          </w:hyperlink>
        </w:p>
        <w:p w14:paraId="071A8839" w14:textId="77777777" w:rsidR="00C53F1B" w:rsidRDefault="00000000">
          <w:r>
            <w:fldChar w:fldCharType="end"/>
          </w:r>
        </w:p>
      </w:sdtContent>
    </w:sdt>
    <w:p w14:paraId="1FE8A463" w14:textId="77777777" w:rsidR="00C53F1B" w:rsidRDefault="00000000">
      <w:r>
        <w:br w:type="page"/>
      </w:r>
    </w:p>
    <w:p w14:paraId="3AF72DDA" w14:textId="77777777" w:rsidR="00C53F1B" w:rsidRDefault="00000000">
      <w:pPr>
        <w:pStyle w:val="Heading1"/>
      </w:pPr>
      <w:bookmarkStart w:id="0" w:name="_Toc228881664"/>
      <w:r>
        <w:lastRenderedPageBreak/>
        <w:t>1. Executive Summary</w:t>
      </w:r>
      <w:bookmarkEnd w:id="0"/>
    </w:p>
    <w:p w14:paraId="37A6CD67" w14:textId="77777777" w:rsidR="00C53F1B" w:rsidRDefault="00000000">
      <w:pPr>
        <w:spacing w:before="120" w:after="120" w:line="276" w:lineRule="auto"/>
      </w:pPr>
      <w:r>
        <w:rPr>
          <w:color w:val="1A1A1A"/>
        </w:rPr>
        <w:t>Western Australia, in partnership with the Commonwealth of Australia, has the honour to submit Perth as candidate host for the Games of the XXXIII Olympiad in 2032. The submission is supported by the Premier of Western Australia and the Prime Minister of Australia. Federal co-funding has been committed in principle to the value of A$3.4 billion.</w:t>
      </w:r>
    </w:p>
    <w:p w14:paraId="1522ADA8" w14:textId="77777777" w:rsidR="00C53F1B" w:rsidRDefault="00000000">
      <w:pPr>
        <w:spacing w:before="120" w:after="120" w:line="276" w:lineRule="auto"/>
      </w:pPr>
      <w:r>
        <w:rPr>
          <w:color w:val="1A1A1A"/>
        </w:rPr>
        <w:t>Perth offers a compact venue footprint within 35 km of the central athletes' precinct, a temperate Mediterranean climate, mature transport infrastructure, and an existing tourism economy capable of absorbing the Games at scale. Forty-three of the proposed venues already exist or are in delivery; eleven require capital works. The bid budget of A$8.9 billion is presented in Section 9 with assumptions disclosed.</w:t>
      </w:r>
    </w:p>
    <w:p w14:paraId="6E6CB336" w14:textId="77777777" w:rsidR="00C53F1B" w:rsidRDefault="00000000">
      <w:pPr>
        <w:spacing w:before="120" w:after="120" w:line="276" w:lineRule="auto"/>
      </w:pPr>
      <w:r>
        <w:rPr>
          <w:color w:val="1A1A1A"/>
        </w:rPr>
        <w:t xml:space="preserve">Perth's distinctive offer to the Olympic Movement is its native fauna ambassador, </w:t>
      </w:r>
      <w:proofErr w:type="spellStart"/>
      <w:r>
        <w:rPr>
          <w:color w:val="1A1A1A"/>
        </w:rPr>
        <w:t>Setonix</w:t>
      </w:r>
      <w:proofErr w:type="spellEnd"/>
      <w:r>
        <w:rPr>
          <w:color w:val="1A1A1A"/>
        </w:rPr>
        <w:t xml:space="preserve"> brachyurus — the Quokka — formally adopted as the Games mascot. The international visibility of the Quokka, sustained by twenty years of social-media tourism on Rottnest Island, provides Perth with a marketing platform unavailable to candidate cities relying on designed mascots.</w:t>
      </w:r>
    </w:p>
    <w:p w14:paraId="5B240CC3" w14:textId="77777777" w:rsidR="00C53F1B" w:rsidRDefault="00000000">
      <w:pPr>
        <w:spacing w:before="120" w:after="120" w:line="276" w:lineRule="auto"/>
      </w:pPr>
      <w:r>
        <w:rPr>
          <w:color w:val="1A1A1A"/>
        </w:rPr>
        <w:t>This document conforms to the IOC Bid Document Formatting Guidelines, Version 4.2. Annexes A through C contain letters of support, engineering modelling, and venue mapping respectively.</w:t>
      </w:r>
    </w:p>
    <w:p w14:paraId="110A6F48" w14:textId="77777777" w:rsidR="00C53F1B" w:rsidRDefault="00000000">
      <w:r>
        <w:br w:type="page"/>
      </w:r>
    </w:p>
    <w:p w14:paraId="585BD9D9" w14:textId="77777777" w:rsidR="00C53F1B" w:rsidRDefault="00000000">
      <w:pPr>
        <w:pStyle w:val="Heading1"/>
      </w:pPr>
      <w:bookmarkStart w:id="1" w:name="_Toc228881665"/>
      <w:r>
        <w:lastRenderedPageBreak/>
        <w:t>2. Vision and Strategic Rationale</w:t>
      </w:r>
      <w:bookmarkEnd w:id="1"/>
    </w:p>
    <w:p w14:paraId="56C1389E" w14:textId="77777777" w:rsidR="00C53F1B" w:rsidRDefault="00000000">
      <w:pPr>
        <w:spacing w:before="120" w:after="120" w:line="276" w:lineRule="auto"/>
      </w:pPr>
      <w:r>
        <w:rPr>
          <w:color w:val="1A1A1A"/>
        </w:rPr>
        <w:t>Perth proposes a Games anchored in three commitments: temperate-climate delivery without supplementary climate engineering; legacy infrastructure investment that aligns with the Western Australian government's existing twenty-year capital plan; and a cultural offer that places Australia's indigenous wildlife — most visibly, the Quokka — at the centre of the Games' international identity.</w:t>
      </w:r>
    </w:p>
    <w:p w14:paraId="4DA5D69F" w14:textId="77777777" w:rsidR="00C53F1B" w:rsidRDefault="00000000">
      <w:pPr>
        <w:pStyle w:val="Heading2"/>
      </w:pPr>
      <w:bookmarkStart w:id="2" w:name="_Toc228881666"/>
      <w:r>
        <w:t>2.1 Climate-suitable delivery</w:t>
      </w:r>
      <w:bookmarkEnd w:id="2"/>
    </w:p>
    <w:p w14:paraId="6E2767B4" w14:textId="77777777" w:rsidR="00C53F1B" w:rsidRDefault="00000000">
      <w:pPr>
        <w:spacing w:before="120" w:after="120" w:line="276" w:lineRule="auto"/>
      </w:pPr>
      <w:r>
        <w:rPr>
          <w:color w:val="1A1A1A"/>
        </w:rPr>
        <w:t>Perth's average mean maximum temperature in July (the proposed Games month) is 19°C, with average humidity of 60 per cent. The bid does not rely on artificial cooling for athlete welfare or spectator comfort. Outdoor venues require no climate-control intervention. Indoor venues use standard HVAC specifications consistent with Australian building code AS 1668.</w:t>
      </w:r>
    </w:p>
    <w:p w14:paraId="78C24B57" w14:textId="77777777" w:rsidR="00C53F1B" w:rsidRDefault="00000000">
      <w:pPr>
        <w:pStyle w:val="Heading2"/>
      </w:pPr>
      <w:bookmarkStart w:id="3" w:name="_Toc228881667"/>
      <w:r>
        <w:t>2.2 Legacy alignment</w:t>
      </w:r>
      <w:bookmarkEnd w:id="3"/>
    </w:p>
    <w:p w14:paraId="50D1389F" w14:textId="77777777" w:rsidR="00C53F1B" w:rsidRDefault="00000000">
      <w:pPr>
        <w:spacing w:before="120" w:after="120" w:line="276" w:lineRule="auto"/>
      </w:pPr>
      <w:r>
        <w:rPr>
          <w:color w:val="1A1A1A"/>
        </w:rPr>
        <w:t xml:space="preserve">Eight of the eleven new venues required for the Games are already in the Western Australian government's capital plan and would be delivered regardless of Olympic outcome. The Games therefore accelerate, rather than </w:t>
      </w:r>
      <w:proofErr w:type="gramStart"/>
      <w:r>
        <w:rPr>
          <w:color w:val="1A1A1A"/>
        </w:rPr>
        <w:t>create,</w:t>
      </w:r>
      <w:proofErr w:type="gramEnd"/>
      <w:r>
        <w:rPr>
          <w:color w:val="1A1A1A"/>
        </w:rPr>
        <w:t xml:space="preserve"> infrastructure spending. The remaining three new venues — the Burswood Aquatics Centre, the Welshpool Velodrome, and the Lake Karrinyup Equestrian Park — are committed within the bid budget.</w:t>
      </w:r>
    </w:p>
    <w:p w14:paraId="05761AE2" w14:textId="77777777" w:rsidR="00C53F1B" w:rsidRDefault="00000000">
      <w:pPr>
        <w:pStyle w:val="Heading2"/>
      </w:pPr>
      <w:bookmarkStart w:id="4" w:name="_Toc228881668"/>
      <w:r>
        <w:t>2.3 Cultural identity through native fauna</w:t>
      </w:r>
      <w:bookmarkEnd w:id="4"/>
    </w:p>
    <w:p w14:paraId="1EF211E4" w14:textId="77777777" w:rsidR="00C53F1B" w:rsidRDefault="00000000">
      <w:pPr>
        <w:spacing w:before="120" w:after="120" w:line="276" w:lineRule="auto"/>
      </w:pPr>
      <w:r>
        <w:rPr>
          <w:color w:val="1A1A1A"/>
        </w:rPr>
        <w:t xml:space="preserve">The Olympic Movement has long valued mascots as instruments of cultural communication. Perth's mascot, Quincy, is not a designed character. Quincy is a representative of an actual species — the Quokka, </w:t>
      </w:r>
      <w:proofErr w:type="spellStart"/>
      <w:r>
        <w:rPr>
          <w:color w:val="1A1A1A"/>
        </w:rPr>
        <w:t>Setonix</w:t>
      </w:r>
      <w:proofErr w:type="spellEnd"/>
      <w:r>
        <w:rPr>
          <w:color w:val="1A1A1A"/>
        </w:rPr>
        <w:t xml:space="preserve"> brachyurus — endemic to Western Australia and listed on the IUCN Red List as Vulnerable. Quincy's brand identity is grounded in conservation advocacy as well as in tourism.</w:t>
      </w:r>
    </w:p>
    <w:p w14:paraId="47A51DBC" w14:textId="77777777" w:rsidR="00C53F1B" w:rsidRDefault="00C53F1B">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53F1B" w14:paraId="51DA7601" w14:textId="77777777">
        <w:tblPrEx>
          <w:tblCellMar>
            <w:top w:w="0" w:type="dxa"/>
            <w:bottom w:w="0" w:type="dxa"/>
          </w:tblCellMar>
        </w:tblPrEx>
        <w:tc>
          <w:tcPr>
            <w:tcW w:w="9026" w:type="dxa"/>
            <w:tcBorders>
              <w:top w:val="none" w:sz="0" w:space="0" w:color="FFFFFF"/>
              <w:left w:val="single" w:sz="24" w:space="0" w:color="C19A4B"/>
              <w:bottom w:val="none" w:sz="0" w:space="0" w:color="FFFFFF"/>
              <w:right w:val="none" w:sz="0" w:space="0" w:color="FFFFFF"/>
            </w:tcBorders>
            <w:tcMar>
              <w:top w:w="200" w:type="dxa"/>
              <w:left w:w="360" w:type="dxa"/>
              <w:bottom w:w="200" w:type="dxa"/>
              <w:right w:w="360" w:type="dxa"/>
            </w:tcMar>
          </w:tcPr>
          <w:p w14:paraId="2472A132" w14:textId="77777777" w:rsidR="00C53F1B" w:rsidRDefault="00000000">
            <w:pPr>
              <w:spacing w:after="80"/>
            </w:pPr>
            <w:r>
              <w:rPr>
                <w:color w:val="1F3864"/>
                <w:sz w:val="26"/>
                <w:szCs w:val="26"/>
              </w:rPr>
              <w:t>"Perth has what no other host city has ever offered the Olympic Movement: a mascot that the world is already in love with."</w:t>
            </w:r>
          </w:p>
          <w:p w14:paraId="5C9EC438" w14:textId="77777777" w:rsidR="00C53F1B" w:rsidRDefault="00000000">
            <w:pPr>
              <w:jc w:val="right"/>
            </w:pPr>
            <w:r>
              <w:rPr>
                <w:color w:val="595959"/>
                <w:sz w:val="20"/>
                <w:szCs w:val="20"/>
              </w:rPr>
              <w:t>— The Hon. Mark McGowan MLA, Premier of Western Australia, statement to the WA Legislative Assembly, 14 November 2018</w:t>
            </w:r>
          </w:p>
        </w:tc>
      </w:tr>
    </w:tbl>
    <w:p w14:paraId="44EDE027" w14:textId="77777777" w:rsidR="00C53F1B" w:rsidRDefault="00C53F1B">
      <w:pPr>
        <w:spacing w:after="120"/>
      </w:pPr>
    </w:p>
    <w:p w14:paraId="74BCFF32" w14:textId="77777777" w:rsidR="00C53F1B" w:rsidRDefault="00000000">
      <w:pPr>
        <w:spacing w:before="120" w:after="120" w:line="276" w:lineRule="auto"/>
      </w:pPr>
      <w:r>
        <w:rPr>
          <w:color w:val="1A1A1A"/>
        </w:rPr>
        <w:t>Section 8 (Cultural Programme and Opening Ceremony) develops the mascot engagement strategy in detail, including the Quokka conservation endowment proposed as a permanent legacy commitment.</w:t>
      </w:r>
    </w:p>
    <w:p w14:paraId="119728DD" w14:textId="77777777" w:rsidR="00C53F1B" w:rsidRDefault="00000000">
      <w:r>
        <w:br w:type="page"/>
      </w:r>
    </w:p>
    <w:p w14:paraId="6F0757F6" w14:textId="77777777" w:rsidR="00C53F1B" w:rsidRDefault="00000000">
      <w:pPr>
        <w:pStyle w:val="Heading1"/>
      </w:pPr>
      <w:bookmarkStart w:id="5" w:name="_Toc228881669"/>
      <w:r>
        <w:lastRenderedPageBreak/>
        <w:t>3. Government Support and Federal Endorsement</w:t>
      </w:r>
      <w:bookmarkEnd w:id="5"/>
    </w:p>
    <w:p w14:paraId="07C6629F" w14:textId="77777777" w:rsidR="00C53F1B" w:rsidRDefault="00000000">
      <w:pPr>
        <w:spacing w:before="120" w:after="120" w:line="276" w:lineRule="auto"/>
      </w:pPr>
      <w:r>
        <w:rPr>
          <w:color w:val="1A1A1A"/>
        </w:rPr>
        <w:t>The Perth 2032 bid is jointly endorsed by the Government of Western Australia and the Commonwealth of Australia. Letters of support from the Premier and the Prime Minister are attached as Annex A. Both letters are signed; both governments have completed Cabinet sign-off before the lodgement of this bid.</w:t>
      </w:r>
    </w:p>
    <w:p w14:paraId="60C210C0" w14:textId="77777777" w:rsidR="00C53F1B" w:rsidRDefault="00000000">
      <w:pPr>
        <w:pStyle w:val="Heading2"/>
      </w:pPr>
      <w:bookmarkStart w:id="6" w:name="_Toc228881670"/>
      <w:r>
        <w:t>3.1 Commonwealth co-funding commitment</w:t>
      </w:r>
      <w:bookmarkEnd w:id="6"/>
    </w:p>
    <w:p w14:paraId="10098F49" w14:textId="77777777" w:rsidR="00C53F1B" w:rsidRDefault="00000000">
      <w:pPr>
        <w:spacing w:before="120" w:after="120" w:line="276" w:lineRule="auto"/>
      </w:pPr>
      <w:r>
        <w:rPr>
          <w:color w:val="1A1A1A"/>
        </w:rPr>
        <w:t>The Commonwealth has committed in-</w:t>
      </w:r>
      <w:proofErr w:type="gramStart"/>
      <w:r>
        <w:rPr>
          <w:color w:val="1A1A1A"/>
        </w:rPr>
        <w:t>principle</w:t>
      </w:r>
      <w:proofErr w:type="gramEnd"/>
      <w:r>
        <w:rPr>
          <w:color w:val="1A1A1A"/>
        </w:rPr>
        <w:t xml:space="preserve"> co-funding to the value of A$3.4 billion, representing approximately 38 per cent of the total bid budget. The commitment is conditional on the Western Australian government's matching contribution of A$4.1 billion (46 per cent), a private and broadcast revenue contribution of A$1.0 billion (11 per cent), and an IOC operational contribution of A$0.4 billion (5 per cent).</w:t>
      </w:r>
    </w:p>
    <w:p w14:paraId="59CAAED2" w14:textId="77777777" w:rsidR="00C53F1B" w:rsidRDefault="00000000">
      <w:pPr>
        <w:spacing w:before="120" w:after="120" w:line="276" w:lineRule="auto"/>
      </w:pPr>
      <w:r>
        <w:rPr>
          <w:color w:val="1A1A1A"/>
        </w:rPr>
        <w:t>The detailed cost summary, including categorical breakdowns, is presented in Table 9.1 (Section 9, Financial Plan).</w:t>
      </w:r>
    </w:p>
    <w:p w14:paraId="4FA19D2F" w14:textId="77777777" w:rsidR="00C53F1B" w:rsidRDefault="00000000">
      <w:pPr>
        <w:pStyle w:val="Heading2"/>
      </w:pPr>
      <w:bookmarkStart w:id="7" w:name="_Toc228881671"/>
      <w:r>
        <w:t>3.2 Local government and stakeholder engagement</w:t>
      </w:r>
      <w:bookmarkEnd w:id="7"/>
    </w:p>
    <w:p w14:paraId="0617E753" w14:textId="77777777" w:rsidR="00C53F1B" w:rsidRDefault="00000000">
      <w:pPr>
        <w:spacing w:before="120" w:after="120" w:line="276" w:lineRule="auto"/>
      </w:pPr>
      <w:r>
        <w:rPr>
          <w:color w:val="1A1A1A"/>
        </w:rPr>
        <w:t xml:space="preserve">The City of Perth, the City of Stirling, the City of South Perth, the Shire of Mundaring, and the Town of Cottesloe have each formally endorsed the bid. Letters of support from the relevant Mayors are included in Annex A. The bid has also received endorsement from the Whadjuk Working Party of the </w:t>
      </w:r>
      <w:proofErr w:type="gramStart"/>
      <w:r>
        <w:rPr>
          <w:color w:val="1A1A1A"/>
        </w:rPr>
        <w:t>South West</w:t>
      </w:r>
      <w:proofErr w:type="gramEnd"/>
      <w:r>
        <w:rPr>
          <w:color w:val="1A1A1A"/>
        </w:rPr>
        <w:t xml:space="preserve"> Aboriginal Land and Sea Council in respect of cultural protocols.</w:t>
      </w:r>
    </w:p>
    <w:p w14:paraId="5E12070F" w14:textId="77777777" w:rsidR="00C53F1B" w:rsidRDefault="00000000">
      <w:pPr>
        <w:pStyle w:val="Heading2"/>
      </w:pPr>
      <w:bookmarkStart w:id="8" w:name="_Toc228881672"/>
      <w:r>
        <w:t>3.3 Bipartisan support</w:t>
      </w:r>
      <w:bookmarkEnd w:id="8"/>
    </w:p>
    <w:p w14:paraId="74A5B538" w14:textId="77777777" w:rsidR="00C53F1B" w:rsidRDefault="00000000">
      <w:pPr>
        <w:spacing w:before="120" w:after="120" w:line="276" w:lineRule="auto"/>
      </w:pPr>
      <w:r>
        <w:rPr>
          <w:color w:val="1A1A1A"/>
        </w:rPr>
        <w:t>The bid has bipartisan support in both the WA Legislative Assembly and the Commonwealth Parliament. The opposition leaders in both jurisdictions have provided written confirmation that, in the event of a change of government before the 2032 Games, the bid commitments will be honoured. These letters are reproduced in Annex A.</w:t>
      </w:r>
    </w:p>
    <w:p w14:paraId="14261F54" w14:textId="77777777" w:rsidR="00C53F1B" w:rsidRDefault="00000000">
      <w:r>
        <w:br w:type="page"/>
      </w:r>
    </w:p>
    <w:p w14:paraId="158CA845" w14:textId="77777777" w:rsidR="00C53F1B" w:rsidRDefault="00000000">
      <w:pPr>
        <w:pStyle w:val="Heading1"/>
      </w:pPr>
      <w:bookmarkStart w:id="9" w:name="_Toc228881673"/>
      <w:r>
        <w:lastRenderedPageBreak/>
        <w:t>4. Venues</w:t>
      </w:r>
      <w:bookmarkEnd w:id="9"/>
    </w:p>
    <w:p w14:paraId="50200EDF" w14:textId="77777777" w:rsidR="00C53F1B" w:rsidRDefault="00000000">
      <w:pPr>
        <w:spacing w:before="120" w:after="120" w:line="276" w:lineRule="auto"/>
      </w:pPr>
      <w:r>
        <w:rPr>
          <w:color w:val="1A1A1A"/>
        </w:rPr>
        <w:t>Perth proposes a compact venue footprint of 54 venues across four sport clusters within 35 km of the Athletes' Village in Burswood. The cluster model is consistent with the IOC's stated preference for compact Games delivery.</w:t>
      </w:r>
    </w:p>
    <w:p w14:paraId="78E75680" w14:textId="77777777" w:rsidR="00C53F1B" w:rsidRDefault="00000000">
      <w:pPr>
        <w:pStyle w:val="Heading2"/>
      </w:pPr>
      <w:bookmarkStart w:id="10" w:name="_Toc228881674"/>
      <w:r>
        <w:t>4.1 Sport clusters</w:t>
      </w:r>
      <w:bookmarkEnd w:id="10"/>
    </w:p>
    <w:p w14:paraId="5DEE765E" w14:textId="77777777" w:rsidR="00C53F1B" w:rsidRDefault="00000000">
      <w:pPr>
        <w:spacing w:before="120" w:after="120" w:line="276" w:lineRule="auto"/>
      </w:pPr>
      <w:r>
        <w:rPr>
          <w:color w:val="1A1A1A"/>
        </w:rPr>
        <w:t>The four clusters — Burswood (athletics, aquatics, indoor sports), Cottesloe-Fremantle (sailing, marine, beach volleyball), Lake Karrinyup (equestrian, modern pentathlon), and Pinjar (cycling, rowing, canoe-kayak) — are connected by the Perth metropolitan rail network, supplemented by dedicated Olympic-lane bus rapid transit during the Games period.</w:t>
      </w:r>
    </w:p>
    <w:p w14:paraId="203FD662" w14:textId="77777777" w:rsidR="00C53F1B" w:rsidRDefault="00000000">
      <w:pPr>
        <w:pStyle w:val="Heading3"/>
      </w:pPr>
      <w:bookmarkStart w:id="11" w:name="_Toc228881675"/>
      <w:r>
        <w:t>4.1.1 Burswood Cluster</w:t>
      </w:r>
      <w:bookmarkEnd w:id="11"/>
    </w:p>
    <w:p w14:paraId="4C102619" w14:textId="77777777" w:rsidR="00C53F1B" w:rsidRDefault="00000000">
      <w:pPr>
        <w:spacing w:before="120" w:after="120" w:line="276" w:lineRule="auto"/>
      </w:pPr>
      <w:r>
        <w:rPr>
          <w:color w:val="1A1A1A"/>
        </w:rPr>
        <w:t>The Burswood cluster includes the Optus Stadium (athletics, ceremonies), the proposed Burswood Aquatics Centre (swimming, diving, water polo), the RAC Arena (gymnastics), and the Perth Convention and Exhibition Centre (boxing, fencing, weightlifting). All venues sit within a 1.2 km radius.</w:t>
      </w:r>
    </w:p>
    <w:p w14:paraId="22926546" w14:textId="77777777" w:rsidR="00C53F1B" w:rsidRDefault="00000000">
      <w:pPr>
        <w:pStyle w:val="Heading3"/>
      </w:pPr>
      <w:bookmarkStart w:id="12" w:name="_Toc228881676"/>
      <w:r>
        <w:t>4.1.2 Cottesloe-Fremantle Cluster</w:t>
      </w:r>
      <w:bookmarkEnd w:id="12"/>
    </w:p>
    <w:p w14:paraId="65440040" w14:textId="77777777" w:rsidR="00C53F1B" w:rsidRDefault="00000000">
      <w:pPr>
        <w:spacing w:before="120" w:after="120" w:line="276" w:lineRule="auto"/>
      </w:pPr>
      <w:r>
        <w:rPr>
          <w:color w:val="1A1A1A"/>
        </w:rPr>
        <w:t>The Cottesloe-Fremantle cluster places sailing at Fremantle Inner Harbour (where the 1987 America's Cup was contested), beach volleyball at Cottesloe Beach, and surfing at Trigg Point. The marine venues leverage existing infrastructure built for the 1987 America's Cup defence.</w:t>
      </w:r>
    </w:p>
    <w:p w14:paraId="7CCA7E93" w14:textId="77777777" w:rsidR="00C53F1B" w:rsidRDefault="00000000">
      <w:pPr>
        <w:pStyle w:val="Heading2"/>
      </w:pPr>
      <w:bookmarkStart w:id="13" w:name="_Toc228881677"/>
      <w:r>
        <w:t>4.2 Venue capacity forecasts</w:t>
      </w:r>
      <w:bookmarkEnd w:id="13"/>
    </w:p>
    <w:p w14:paraId="7F66B9BF" w14:textId="77777777" w:rsidR="00C53F1B" w:rsidRDefault="00000000">
      <w:pPr>
        <w:spacing w:before="120" w:after="120" w:line="276" w:lineRule="auto"/>
      </w:pPr>
      <w:r>
        <w:rPr>
          <w:color w:val="1A1A1A"/>
        </w:rPr>
        <w:t>Table 4.1 sets out venue capacity forecasts for the 11 principal venues. Legacy capacity is the venue's stated post-Games configuration.</w:t>
      </w:r>
    </w:p>
    <w:p w14:paraId="22F0C767" w14:textId="77777777" w:rsidR="00C53F1B" w:rsidRDefault="00C53F1B">
      <w:pPr>
        <w:spacing w:after="12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400"/>
        <w:gridCol w:w="1900"/>
        <w:gridCol w:w="1900"/>
      </w:tblGrid>
      <w:tr w:rsidR="00C53F1B" w14:paraId="286480A3" w14:textId="77777777">
        <w:tblPrEx>
          <w:tblCellMar>
            <w:top w:w="0" w:type="dxa"/>
            <w:bottom w:w="0" w:type="dxa"/>
          </w:tblCellMar>
        </w:tblPrEx>
        <w:trPr>
          <w:tblHeader/>
        </w:trPr>
        <w:tc>
          <w:tcPr>
            <w:tcW w:w="30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0A1E8D5E" w14:textId="77777777" w:rsidR="00C53F1B" w:rsidRDefault="00000000">
            <w:r>
              <w:rPr>
                <w:b/>
                <w:bCs/>
                <w:color w:val="FFFFFF"/>
              </w:rPr>
              <w:t>Venue</w:t>
            </w:r>
          </w:p>
        </w:tc>
        <w:tc>
          <w:tcPr>
            <w:tcW w:w="24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5122058C" w14:textId="77777777" w:rsidR="00C53F1B" w:rsidRDefault="00000000">
            <w:r>
              <w:rPr>
                <w:b/>
                <w:bCs/>
                <w:color w:val="FFFFFF"/>
              </w:rPr>
              <w:t>Discipline</w:t>
            </w:r>
          </w:p>
        </w:tc>
        <w:tc>
          <w:tcPr>
            <w:tcW w:w="19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213BA0C1" w14:textId="77777777" w:rsidR="00C53F1B" w:rsidRDefault="00000000">
            <w:r>
              <w:rPr>
                <w:b/>
                <w:bCs/>
                <w:color w:val="FFFFFF"/>
              </w:rPr>
              <w:t>Capacity (Olympic)</w:t>
            </w:r>
          </w:p>
        </w:tc>
        <w:tc>
          <w:tcPr>
            <w:tcW w:w="19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0792DE3D" w14:textId="77777777" w:rsidR="00C53F1B" w:rsidRDefault="00000000">
            <w:r>
              <w:rPr>
                <w:b/>
                <w:bCs/>
                <w:color w:val="FFFFFF"/>
              </w:rPr>
              <w:t>Capacity (legacy)</w:t>
            </w:r>
          </w:p>
        </w:tc>
      </w:tr>
      <w:tr w:rsidR="00C53F1B" w14:paraId="266C6D2B"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2A7A2B7" w14:textId="77777777" w:rsidR="00C53F1B" w:rsidRDefault="00000000">
            <w:r>
              <w:rPr>
                <w:color w:val="1A1A1A"/>
                <w:sz w:val="20"/>
                <w:szCs w:val="20"/>
              </w:rPr>
              <w:t>Optus Stadium</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641A147B" w14:textId="77777777" w:rsidR="00C53F1B" w:rsidRDefault="00000000">
            <w:r>
              <w:rPr>
                <w:color w:val="1A1A1A"/>
                <w:sz w:val="20"/>
                <w:szCs w:val="20"/>
              </w:rPr>
              <w:t>Athletics, ceremonies</w:t>
            </w:r>
          </w:p>
        </w:tc>
        <w:tc>
          <w:tcPr>
            <w:tcW w:w="1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57908FE5" w14:textId="77777777" w:rsidR="00C53F1B" w:rsidRDefault="00000000">
            <w:r>
              <w:rPr>
                <w:color w:val="1A1A1A"/>
                <w:sz w:val="20"/>
                <w:szCs w:val="20"/>
              </w:rPr>
              <w:t>60,000</w:t>
            </w:r>
          </w:p>
        </w:tc>
        <w:tc>
          <w:tcPr>
            <w:tcW w:w="1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5FED1C88" w14:textId="77777777" w:rsidR="00C53F1B" w:rsidRDefault="00000000">
            <w:r>
              <w:rPr>
                <w:color w:val="1A1A1A"/>
                <w:sz w:val="20"/>
                <w:szCs w:val="20"/>
              </w:rPr>
              <w:t>60,000</w:t>
            </w:r>
          </w:p>
        </w:tc>
      </w:tr>
      <w:tr w:rsidR="00C53F1B" w14:paraId="0EEA73F1"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28A4C358" w14:textId="77777777" w:rsidR="00C53F1B" w:rsidRDefault="00000000">
            <w:r>
              <w:rPr>
                <w:color w:val="1A1A1A"/>
                <w:sz w:val="20"/>
                <w:szCs w:val="20"/>
              </w:rPr>
              <w:t>Burswood Aquatics Centre (new)</w:t>
            </w:r>
          </w:p>
        </w:tc>
        <w:tc>
          <w:tcPr>
            <w:tcW w:w="24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53E6CDB3" w14:textId="77777777" w:rsidR="00C53F1B" w:rsidRDefault="00000000">
            <w:r>
              <w:rPr>
                <w:color w:val="1A1A1A"/>
                <w:sz w:val="20"/>
                <w:szCs w:val="20"/>
              </w:rPr>
              <w:t>Swimming, diving, water polo</w:t>
            </w:r>
          </w:p>
        </w:tc>
        <w:tc>
          <w:tcPr>
            <w:tcW w:w="1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586E37D9" w14:textId="77777777" w:rsidR="00C53F1B" w:rsidRDefault="00000000">
            <w:r>
              <w:rPr>
                <w:color w:val="1A1A1A"/>
                <w:sz w:val="20"/>
                <w:szCs w:val="20"/>
              </w:rPr>
              <w:t>15,000</w:t>
            </w:r>
          </w:p>
        </w:tc>
        <w:tc>
          <w:tcPr>
            <w:tcW w:w="1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17616849" w14:textId="77777777" w:rsidR="00C53F1B" w:rsidRDefault="00000000">
            <w:r>
              <w:rPr>
                <w:color w:val="1A1A1A"/>
                <w:sz w:val="20"/>
                <w:szCs w:val="20"/>
              </w:rPr>
              <w:t>8,000</w:t>
            </w:r>
          </w:p>
        </w:tc>
      </w:tr>
      <w:tr w:rsidR="00C53F1B" w14:paraId="745AE829"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536E9999" w14:textId="77777777" w:rsidR="00C53F1B" w:rsidRDefault="00000000">
            <w:r>
              <w:rPr>
                <w:color w:val="1A1A1A"/>
                <w:sz w:val="20"/>
                <w:szCs w:val="20"/>
              </w:rPr>
              <w:t>RAC Arena</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5507737F" w14:textId="77777777" w:rsidR="00C53F1B" w:rsidRDefault="00000000">
            <w:r>
              <w:rPr>
                <w:color w:val="1A1A1A"/>
                <w:sz w:val="20"/>
                <w:szCs w:val="20"/>
              </w:rPr>
              <w:t>Gymnastics</w:t>
            </w:r>
          </w:p>
        </w:tc>
        <w:tc>
          <w:tcPr>
            <w:tcW w:w="1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19E6C514" w14:textId="77777777" w:rsidR="00C53F1B" w:rsidRDefault="00000000">
            <w:r>
              <w:rPr>
                <w:color w:val="1A1A1A"/>
                <w:sz w:val="20"/>
                <w:szCs w:val="20"/>
              </w:rPr>
              <w:t>15,500</w:t>
            </w:r>
          </w:p>
        </w:tc>
        <w:tc>
          <w:tcPr>
            <w:tcW w:w="1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45233FFF" w14:textId="77777777" w:rsidR="00C53F1B" w:rsidRDefault="00000000">
            <w:r>
              <w:rPr>
                <w:color w:val="1A1A1A"/>
                <w:sz w:val="20"/>
                <w:szCs w:val="20"/>
              </w:rPr>
              <w:t>15,500</w:t>
            </w:r>
          </w:p>
        </w:tc>
      </w:tr>
      <w:tr w:rsidR="00C53F1B" w14:paraId="2643CE48"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5E895485" w14:textId="77777777" w:rsidR="00C53F1B" w:rsidRDefault="00000000">
            <w:r>
              <w:rPr>
                <w:color w:val="1A1A1A"/>
                <w:sz w:val="20"/>
                <w:szCs w:val="20"/>
              </w:rPr>
              <w:t>Perth Convention Centre</w:t>
            </w:r>
          </w:p>
        </w:tc>
        <w:tc>
          <w:tcPr>
            <w:tcW w:w="24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557C543F" w14:textId="77777777" w:rsidR="00C53F1B" w:rsidRDefault="00000000">
            <w:r>
              <w:rPr>
                <w:color w:val="1A1A1A"/>
                <w:sz w:val="20"/>
                <w:szCs w:val="20"/>
              </w:rPr>
              <w:t>Boxing, fencing, weightlifting</w:t>
            </w:r>
          </w:p>
        </w:tc>
        <w:tc>
          <w:tcPr>
            <w:tcW w:w="1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1DB8DE3D" w14:textId="77777777" w:rsidR="00C53F1B" w:rsidRDefault="00000000">
            <w:r>
              <w:rPr>
                <w:color w:val="1A1A1A"/>
                <w:sz w:val="20"/>
                <w:szCs w:val="20"/>
              </w:rPr>
              <w:t>8,000</w:t>
            </w:r>
          </w:p>
        </w:tc>
        <w:tc>
          <w:tcPr>
            <w:tcW w:w="1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58328C78" w14:textId="77777777" w:rsidR="00C53F1B" w:rsidRDefault="00000000">
            <w:r>
              <w:rPr>
                <w:color w:val="1A1A1A"/>
                <w:sz w:val="20"/>
                <w:szCs w:val="20"/>
              </w:rPr>
              <w:t>5,000</w:t>
            </w:r>
          </w:p>
        </w:tc>
      </w:tr>
      <w:tr w:rsidR="00C53F1B" w14:paraId="2A915BBF"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124D6F35" w14:textId="77777777" w:rsidR="00C53F1B" w:rsidRDefault="00000000">
            <w:r>
              <w:rPr>
                <w:color w:val="1A1A1A"/>
                <w:sz w:val="20"/>
                <w:szCs w:val="20"/>
              </w:rPr>
              <w:t>HBF Stadium</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FB00FEF" w14:textId="77777777" w:rsidR="00C53F1B" w:rsidRDefault="00000000">
            <w:r>
              <w:rPr>
                <w:color w:val="1A1A1A"/>
                <w:sz w:val="20"/>
                <w:szCs w:val="20"/>
              </w:rPr>
              <w:t>Volleyball (indoor)</w:t>
            </w:r>
          </w:p>
        </w:tc>
        <w:tc>
          <w:tcPr>
            <w:tcW w:w="1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606008D5" w14:textId="77777777" w:rsidR="00C53F1B" w:rsidRDefault="00000000">
            <w:r>
              <w:rPr>
                <w:color w:val="1A1A1A"/>
                <w:sz w:val="20"/>
                <w:szCs w:val="20"/>
              </w:rPr>
              <w:t>5,500</w:t>
            </w:r>
          </w:p>
        </w:tc>
        <w:tc>
          <w:tcPr>
            <w:tcW w:w="1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5F3FB861" w14:textId="77777777" w:rsidR="00C53F1B" w:rsidRDefault="00000000">
            <w:r>
              <w:rPr>
                <w:color w:val="1A1A1A"/>
                <w:sz w:val="20"/>
                <w:szCs w:val="20"/>
              </w:rPr>
              <w:t>5,500</w:t>
            </w:r>
          </w:p>
        </w:tc>
      </w:tr>
      <w:tr w:rsidR="00C53F1B" w14:paraId="76F449BA"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2579878E" w14:textId="77777777" w:rsidR="00C53F1B" w:rsidRDefault="00000000">
            <w:r>
              <w:rPr>
                <w:color w:val="1A1A1A"/>
                <w:sz w:val="20"/>
                <w:szCs w:val="20"/>
              </w:rPr>
              <w:t>Welshpool Velodrome (new)</w:t>
            </w:r>
          </w:p>
        </w:tc>
        <w:tc>
          <w:tcPr>
            <w:tcW w:w="24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42520BE8" w14:textId="77777777" w:rsidR="00C53F1B" w:rsidRDefault="00000000">
            <w:r>
              <w:rPr>
                <w:color w:val="1A1A1A"/>
                <w:sz w:val="20"/>
                <w:szCs w:val="20"/>
              </w:rPr>
              <w:t>Cycling track</w:t>
            </w:r>
          </w:p>
        </w:tc>
        <w:tc>
          <w:tcPr>
            <w:tcW w:w="1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609F9B65" w14:textId="77777777" w:rsidR="00C53F1B" w:rsidRDefault="00000000">
            <w:r>
              <w:rPr>
                <w:color w:val="1A1A1A"/>
                <w:sz w:val="20"/>
                <w:szCs w:val="20"/>
              </w:rPr>
              <w:t>6,000</w:t>
            </w:r>
          </w:p>
        </w:tc>
        <w:tc>
          <w:tcPr>
            <w:tcW w:w="1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661962E8" w14:textId="77777777" w:rsidR="00C53F1B" w:rsidRDefault="00000000">
            <w:r>
              <w:rPr>
                <w:color w:val="1A1A1A"/>
                <w:sz w:val="20"/>
                <w:szCs w:val="20"/>
              </w:rPr>
              <w:t>3,500</w:t>
            </w:r>
          </w:p>
        </w:tc>
      </w:tr>
      <w:tr w:rsidR="00C53F1B" w14:paraId="53E868EB"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14BD508C" w14:textId="77777777" w:rsidR="00C53F1B" w:rsidRDefault="00000000">
            <w:r>
              <w:rPr>
                <w:color w:val="1A1A1A"/>
                <w:sz w:val="20"/>
                <w:szCs w:val="20"/>
              </w:rPr>
              <w:t>Lake Karrinyup Equestrian Park (new)</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DC7B498" w14:textId="77777777" w:rsidR="00C53F1B" w:rsidRDefault="00000000">
            <w:r>
              <w:rPr>
                <w:color w:val="1A1A1A"/>
                <w:sz w:val="20"/>
                <w:szCs w:val="20"/>
              </w:rPr>
              <w:t>Equestrian</w:t>
            </w:r>
          </w:p>
        </w:tc>
        <w:tc>
          <w:tcPr>
            <w:tcW w:w="1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1680BBA" w14:textId="77777777" w:rsidR="00C53F1B" w:rsidRDefault="00000000">
            <w:r>
              <w:rPr>
                <w:color w:val="1A1A1A"/>
                <w:sz w:val="20"/>
                <w:szCs w:val="20"/>
              </w:rPr>
              <w:t>12,000</w:t>
            </w:r>
          </w:p>
        </w:tc>
        <w:tc>
          <w:tcPr>
            <w:tcW w:w="1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7F96B69C" w14:textId="77777777" w:rsidR="00C53F1B" w:rsidRDefault="00000000">
            <w:r>
              <w:rPr>
                <w:color w:val="1A1A1A"/>
                <w:sz w:val="20"/>
                <w:szCs w:val="20"/>
              </w:rPr>
              <w:t>6,000</w:t>
            </w:r>
          </w:p>
        </w:tc>
      </w:tr>
      <w:tr w:rsidR="00C53F1B" w14:paraId="153D0589"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160DEF18" w14:textId="77777777" w:rsidR="00C53F1B" w:rsidRDefault="00000000">
            <w:r>
              <w:rPr>
                <w:color w:val="1A1A1A"/>
                <w:sz w:val="20"/>
                <w:szCs w:val="20"/>
              </w:rPr>
              <w:lastRenderedPageBreak/>
              <w:t>Champion Lakes</w:t>
            </w:r>
          </w:p>
        </w:tc>
        <w:tc>
          <w:tcPr>
            <w:tcW w:w="24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2F9A1887" w14:textId="77777777" w:rsidR="00C53F1B" w:rsidRDefault="00000000">
            <w:r>
              <w:rPr>
                <w:color w:val="1A1A1A"/>
                <w:sz w:val="20"/>
                <w:szCs w:val="20"/>
              </w:rPr>
              <w:t>Rowing, canoe-kayak</w:t>
            </w:r>
          </w:p>
        </w:tc>
        <w:tc>
          <w:tcPr>
            <w:tcW w:w="1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45ABBE59" w14:textId="77777777" w:rsidR="00C53F1B" w:rsidRDefault="00000000">
            <w:r>
              <w:rPr>
                <w:color w:val="1A1A1A"/>
                <w:sz w:val="20"/>
                <w:szCs w:val="20"/>
              </w:rPr>
              <w:t>10,000</w:t>
            </w:r>
          </w:p>
        </w:tc>
        <w:tc>
          <w:tcPr>
            <w:tcW w:w="1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68B224DC" w14:textId="77777777" w:rsidR="00C53F1B" w:rsidRDefault="00000000">
            <w:r>
              <w:rPr>
                <w:color w:val="1A1A1A"/>
                <w:sz w:val="20"/>
                <w:szCs w:val="20"/>
              </w:rPr>
              <w:t>4,000</w:t>
            </w:r>
          </w:p>
        </w:tc>
      </w:tr>
      <w:tr w:rsidR="00C53F1B" w14:paraId="5660AEDD"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610A04AD" w14:textId="77777777" w:rsidR="00C53F1B" w:rsidRDefault="00000000">
            <w:r>
              <w:rPr>
                <w:color w:val="1A1A1A"/>
                <w:sz w:val="20"/>
                <w:szCs w:val="20"/>
              </w:rPr>
              <w:t>Fremantle Inner Harbour</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58624B9F" w14:textId="77777777" w:rsidR="00C53F1B" w:rsidRDefault="00000000">
            <w:r>
              <w:rPr>
                <w:color w:val="1A1A1A"/>
                <w:sz w:val="20"/>
                <w:szCs w:val="20"/>
              </w:rPr>
              <w:t>Sailing</w:t>
            </w:r>
          </w:p>
        </w:tc>
        <w:tc>
          <w:tcPr>
            <w:tcW w:w="1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4DFBE662" w14:textId="77777777" w:rsidR="00C53F1B" w:rsidRDefault="00000000">
            <w:r>
              <w:rPr>
                <w:color w:val="1A1A1A"/>
                <w:sz w:val="20"/>
                <w:szCs w:val="20"/>
              </w:rPr>
              <w:t>8,000</w:t>
            </w:r>
          </w:p>
        </w:tc>
        <w:tc>
          <w:tcPr>
            <w:tcW w:w="1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53C20C5A" w14:textId="77777777" w:rsidR="00C53F1B" w:rsidRDefault="00000000">
            <w:r>
              <w:rPr>
                <w:color w:val="1A1A1A"/>
                <w:sz w:val="20"/>
                <w:szCs w:val="20"/>
              </w:rPr>
              <w:t>n/a (open water)</w:t>
            </w:r>
          </w:p>
        </w:tc>
      </w:tr>
      <w:tr w:rsidR="00C53F1B" w14:paraId="1E890B6D"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562129C7" w14:textId="77777777" w:rsidR="00C53F1B" w:rsidRDefault="00000000">
            <w:r>
              <w:rPr>
                <w:color w:val="1A1A1A"/>
                <w:sz w:val="20"/>
                <w:szCs w:val="20"/>
              </w:rPr>
              <w:t>Cottesloe Beach</w:t>
            </w:r>
          </w:p>
        </w:tc>
        <w:tc>
          <w:tcPr>
            <w:tcW w:w="24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514C9ACC" w14:textId="77777777" w:rsidR="00C53F1B" w:rsidRDefault="00000000">
            <w:r>
              <w:rPr>
                <w:color w:val="1A1A1A"/>
                <w:sz w:val="20"/>
                <w:szCs w:val="20"/>
              </w:rPr>
              <w:t>Beach volleyball</w:t>
            </w:r>
          </w:p>
        </w:tc>
        <w:tc>
          <w:tcPr>
            <w:tcW w:w="1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02DB6658" w14:textId="77777777" w:rsidR="00C53F1B" w:rsidRDefault="00000000">
            <w:r>
              <w:rPr>
                <w:color w:val="1A1A1A"/>
                <w:sz w:val="20"/>
                <w:szCs w:val="20"/>
              </w:rPr>
              <w:t>12,000</w:t>
            </w:r>
          </w:p>
        </w:tc>
        <w:tc>
          <w:tcPr>
            <w:tcW w:w="1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35F1F677" w14:textId="77777777" w:rsidR="00C53F1B" w:rsidRDefault="00000000">
            <w:r>
              <w:rPr>
                <w:color w:val="1A1A1A"/>
                <w:sz w:val="20"/>
                <w:szCs w:val="20"/>
              </w:rPr>
              <w:t>n/a (public beach)</w:t>
            </w:r>
          </w:p>
        </w:tc>
      </w:tr>
      <w:tr w:rsidR="00C53F1B" w14:paraId="762ACD01"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A881710" w14:textId="77777777" w:rsidR="00C53F1B" w:rsidRDefault="00000000">
            <w:r>
              <w:rPr>
                <w:color w:val="1A1A1A"/>
                <w:sz w:val="20"/>
                <w:szCs w:val="20"/>
              </w:rPr>
              <w:t>Trigg Point</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21E978B6" w14:textId="77777777" w:rsidR="00C53F1B" w:rsidRDefault="00000000">
            <w:r>
              <w:rPr>
                <w:color w:val="1A1A1A"/>
                <w:sz w:val="20"/>
                <w:szCs w:val="20"/>
              </w:rPr>
              <w:t>Surfing</w:t>
            </w:r>
          </w:p>
        </w:tc>
        <w:tc>
          <w:tcPr>
            <w:tcW w:w="1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14C8A4ED" w14:textId="77777777" w:rsidR="00C53F1B" w:rsidRDefault="00000000">
            <w:r>
              <w:rPr>
                <w:color w:val="1A1A1A"/>
                <w:sz w:val="20"/>
                <w:szCs w:val="20"/>
              </w:rPr>
              <w:t>5,000</w:t>
            </w:r>
          </w:p>
        </w:tc>
        <w:tc>
          <w:tcPr>
            <w:tcW w:w="1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706BE486" w14:textId="77777777" w:rsidR="00C53F1B" w:rsidRDefault="00000000">
            <w:r>
              <w:rPr>
                <w:color w:val="1A1A1A"/>
                <w:sz w:val="20"/>
                <w:szCs w:val="20"/>
              </w:rPr>
              <w:t>n/a (open water)</w:t>
            </w:r>
          </w:p>
        </w:tc>
      </w:tr>
    </w:tbl>
    <w:p w14:paraId="6307A7F5" w14:textId="77777777" w:rsidR="00C53F1B" w:rsidRDefault="00000000">
      <w:pPr>
        <w:spacing w:before="60" w:after="200"/>
      </w:pPr>
      <w:r>
        <w:rPr>
          <w:color w:val="595959"/>
          <w:sz w:val="20"/>
          <w:szCs w:val="20"/>
        </w:rPr>
        <w:t>Table 4.1: Venue capacity forecasts. Source: Perth 2032 Venue Working Group, October 2018.</w:t>
      </w:r>
    </w:p>
    <w:p w14:paraId="37C340F0" w14:textId="77777777" w:rsidR="00C53F1B" w:rsidRDefault="00000000">
      <w:pPr>
        <w:pStyle w:val="Heading3"/>
      </w:pPr>
      <w:bookmarkStart w:id="14" w:name="_Toc228881678"/>
      <w:r>
        <w:t>4.2.1 Existing-venue uplift</w:t>
      </w:r>
      <w:bookmarkEnd w:id="14"/>
    </w:p>
    <w:p w14:paraId="589F1658" w14:textId="77777777" w:rsidR="00C53F1B" w:rsidRDefault="00000000">
      <w:pPr>
        <w:spacing w:before="120" w:after="120" w:line="276" w:lineRule="auto"/>
      </w:pPr>
      <w:r>
        <w:rPr>
          <w:color w:val="1A1A1A"/>
        </w:rPr>
        <w:t>Forty-three venues used in the Games are existing assets requiring minor uplift only (overlay, broadcast cabling, accessibility upgrades). The ratio of new-build to existing venues — 11 to 43 — is the lowest of any candidate-city submission to the IOC since 2008.</w:t>
      </w:r>
    </w:p>
    <w:p w14:paraId="6A292208" w14:textId="77777777" w:rsidR="00C53F1B" w:rsidRDefault="00000000">
      <w:r>
        <w:br w:type="page"/>
      </w:r>
    </w:p>
    <w:p w14:paraId="470B749B" w14:textId="77777777" w:rsidR="00C53F1B" w:rsidRDefault="00000000">
      <w:pPr>
        <w:pStyle w:val="Heading1"/>
      </w:pPr>
      <w:bookmarkStart w:id="15" w:name="_Toc228881679"/>
      <w:r>
        <w:lastRenderedPageBreak/>
        <w:t>5. Athletes' Village</w:t>
      </w:r>
      <w:bookmarkEnd w:id="15"/>
    </w:p>
    <w:p w14:paraId="1D854723" w14:textId="77777777" w:rsidR="00C53F1B" w:rsidRDefault="00000000">
      <w:pPr>
        <w:spacing w:before="120" w:after="120" w:line="276" w:lineRule="auto"/>
      </w:pPr>
      <w:r>
        <w:rPr>
          <w:color w:val="1A1A1A"/>
        </w:rPr>
        <w:t>The Perth 2032 Athletes' Village is proposed at Burswood Peninsula, on the site of the former Burswood Park Trust holdings. The Village comprises six residential blocks delivering 17,000 beds, with full dining, training, medical, and recreational facilities on-site.</w:t>
      </w:r>
    </w:p>
    <w:p w14:paraId="1D06C19D" w14:textId="77777777" w:rsidR="00C53F1B" w:rsidRDefault="00000000">
      <w:pPr>
        <w:pStyle w:val="Heading2"/>
      </w:pPr>
      <w:bookmarkStart w:id="16" w:name="_Toc228881680"/>
      <w:r>
        <w:t>5.1 Capacity and configuration</w:t>
      </w:r>
      <w:bookmarkEnd w:id="16"/>
    </w:p>
    <w:p w14:paraId="273E6AD8" w14:textId="77777777" w:rsidR="00C53F1B" w:rsidRDefault="00000000">
      <w:pPr>
        <w:spacing w:before="120" w:after="120" w:line="276" w:lineRule="auto"/>
      </w:pPr>
      <w:r>
        <w:rPr>
          <w:color w:val="1A1A1A"/>
        </w:rPr>
        <w:t>Table 5.1 sets out Athletes' Village capacity by block, including climate-control specification. Climate control in Perth's Mediterranean climate is provided by standard HVAC consistent with Australian building code AS 1668; no supplementary refrigeration capacity is required.</w:t>
      </w:r>
    </w:p>
    <w:p w14:paraId="2095ACE6" w14:textId="77777777" w:rsidR="00C53F1B" w:rsidRDefault="00C53F1B">
      <w:pPr>
        <w:spacing w:after="12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1800"/>
        <w:gridCol w:w="1300"/>
        <w:gridCol w:w="2400"/>
      </w:tblGrid>
      <w:tr w:rsidR="00C53F1B" w14:paraId="0DFCABE4" w14:textId="77777777">
        <w:tblPrEx>
          <w:tblCellMar>
            <w:top w:w="0" w:type="dxa"/>
            <w:bottom w:w="0" w:type="dxa"/>
          </w:tblCellMar>
        </w:tblPrEx>
        <w:trPr>
          <w:tblHeader/>
        </w:trPr>
        <w:tc>
          <w:tcPr>
            <w:tcW w:w="35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2916B186" w14:textId="77777777" w:rsidR="00C53F1B" w:rsidRDefault="00000000">
            <w:r>
              <w:rPr>
                <w:b/>
                <w:bCs/>
                <w:color w:val="FFFFFF"/>
              </w:rPr>
              <w:t>Block</w:t>
            </w:r>
          </w:p>
        </w:tc>
        <w:tc>
          <w:tcPr>
            <w:tcW w:w="18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66A51D78" w14:textId="77777777" w:rsidR="00C53F1B" w:rsidRDefault="00000000">
            <w:r>
              <w:rPr>
                <w:b/>
                <w:bCs/>
                <w:color w:val="FFFFFF"/>
              </w:rPr>
              <w:t>Buildings</w:t>
            </w:r>
          </w:p>
        </w:tc>
        <w:tc>
          <w:tcPr>
            <w:tcW w:w="13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676882D9" w14:textId="77777777" w:rsidR="00C53F1B" w:rsidRDefault="00000000">
            <w:r>
              <w:rPr>
                <w:b/>
                <w:bCs/>
                <w:color w:val="FFFFFF"/>
              </w:rPr>
              <w:t>Beds</w:t>
            </w:r>
          </w:p>
        </w:tc>
        <w:tc>
          <w:tcPr>
            <w:tcW w:w="24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2F709B25" w14:textId="77777777" w:rsidR="00C53F1B" w:rsidRDefault="00000000">
            <w:r>
              <w:rPr>
                <w:b/>
                <w:bCs/>
                <w:color w:val="FFFFFF"/>
              </w:rPr>
              <w:t>Climate-control specification</w:t>
            </w:r>
          </w:p>
        </w:tc>
      </w:tr>
      <w:tr w:rsidR="00C53F1B" w14:paraId="08E67625" w14:textId="77777777">
        <w:tblPrEx>
          <w:tblCellMar>
            <w:top w:w="0" w:type="dxa"/>
            <w:bottom w:w="0" w:type="dxa"/>
          </w:tblCellMar>
        </w:tblPrEx>
        <w:tc>
          <w:tcPr>
            <w:tcW w:w="3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15B0E50" w14:textId="77777777" w:rsidR="00C53F1B" w:rsidRDefault="00000000">
            <w:r>
              <w:rPr>
                <w:color w:val="1A1A1A"/>
                <w:sz w:val="20"/>
                <w:szCs w:val="20"/>
              </w:rPr>
              <w:t>Block A — Senior delegations</w:t>
            </w:r>
          </w:p>
        </w:tc>
        <w:tc>
          <w:tcPr>
            <w:tcW w:w="1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D40EDA7" w14:textId="77777777" w:rsidR="00C53F1B" w:rsidRDefault="00000000">
            <w:r>
              <w:rPr>
                <w:color w:val="1A1A1A"/>
                <w:sz w:val="20"/>
                <w:szCs w:val="20"/>
              </w:rPr>
              <w:t>4 × 12-storey</w:t>
            </w:r>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EE9EA4D" w14:textId="77777777" w:rsidR="00C53F1B" w:rsidRDefault="00000000">
            <w:r>
              <w:rPr>
                <w:color w:val="1A1A1A"/>
                <w:sz w:val="20"/>
                <w:szCs w:val="20"/>
              </w:rPr>
              <w:t>3,200</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ECE3C27" w14:textId="77777777" w:rsidR="00C53F1B" w:rsidRDefault="00000000">
            <w:r>
              <w:rPr>
                <w:color w:val="1A1A1A"/>
                <w:sz w:val="20"/>
                <w:szCs w:val="20"/>
              </w:rPr>
              <w:t>Standard HVAC (AS 1668)</w:t>
            </w:r>
          </w:p>
        </w:tc>
      </w:tr>
      <w:tr w:rsidR="00C53F1B" w14:paraId="54B2A3AE" w14:textId="77777777">
        <w:tblPrEx>
          <w:tblCellMar>
            <w:top w:w="0" w:type="dxa"/>
            <w:bottom w:w="0" w:type="dxa"/>
          </w:tblCellMar>
        </w:tblPrEx>
        <w:tc>
          <w:tcPr>
            <w:tcW w:w="35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0C4F11FB" w14:textId="77777777" w:rsidR="00C53F1B" w:rsidRDefault="00000000">
            <w:r>
              <w:rPr>
                <w:color w:val="1A1A1A"/>
                <w:sz w:val="20"/>
                <w:szCs w:val="20"/>
              </w:rPr>
              <w:t>Block B — Field events delegations</w:t>
            </w:r>
          </w:p>
        </w:tc>
        <w:tc>
          <w:tcPr>
            <w:tcW w:w="1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507187ED" w14:textId="77777777" w:rsidR="00C53F1B" w:rsidRDefault="00000000">
            <w:r>
              <w:rPr>
                <w:color w:val="1A1A1A"/>
                <w:sz w:val="20"/>
                <w:szCs w:val="20"/>
              </w:rPr>
              <w:t>3 × 14-storey</w:t>
            </w:r>
          </w:p>
        </w:tc>
        <w:tc>
          <w:tcPr>
            <w:tcW w:w="13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2E785C5A" w14:textId="77777777" w:rsidR="00C53F1B" w:rsidRDefault="00000000">
            <w:r>
              <w:rPr>
                <w:color w:val="1A1A1A"/>
                <w:sz w:val="20"/>
                <w:szCs w:val="20"/>
              </w:rPr>
              <w:t>3,000</w:t>
            </w:r>
          </w:p>
        </w:tc>
        <w:tc>
          <w:tcPr>
            <w:tcW w:w="24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5A7BA696" w14:textId="77777777" w:rsidR="00C53F1B" w:rsidRDefault="00000000">
            <w:r>
              <w:rPr>
                <w:color w:val="1A1A1A"/>
                <w:sz w:val="20"/>
                <w:szCs w:val="20"/>
              </w:rPr>
              <w:t>Standard HVAC (AS 1668)</w:t>
            </w:r>
          </w:p>
        </w:tc>
      </w:tr>
      <w:tr w:rsidR="00C53F1B" w14:paraId="77E95E02" w14:textId="77777777">
        <w:tblPrEx>
          <w:tblCellMar>
            <w:top w:w="0" w:type="dxa"/>
            <w:bottom w:w="0" w:type="dxa"/>
          </w:tblCellMar>
        </w:tblPrEx>
        <w:tc>
          <w:tcPr>
            <w:tcW w:w="3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643E2639" w14:textId="77777777" w:rsidR="00C53F1B" w:rsidRDefault="00000000">
            <w:r>
              <w:rPr>
                <w:color w:val="1A1A1A"/>
                <w:sz w:val="20"/>
                <w:szCs w:val="20"/>
              </w:rPr>
              <w:t>Block C — Aquatic delegations</w:t>
            </w:r>
          </w:p>
        </w:tc>
        <w:tc>
          <w:tcPr>
            <w:tcW w:w="1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F4D34A5" w14:textId="77777777" w:rsidR="00C53F1B" w:rsidRDefault="00000000">
            <w:r>
              <w:rPr>
                <w:color w:val="1A1A1A"/>
                <w:sz w:val="20"/>
                <w:szCs w:val="20"/>
              </w:rPr>
              <w:t>3 × 10-storey</w:t>
            </w:r>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FE972EA" w14:textId="77777777" w:rsidR="00C53F1B" w:rsidRDefault="00000000">
            <w:r>
              <w:rPr>
                <w:color w:val="1A1A1A"/>
                <w:sz w:val="20"/>
                <w:szCs w:val="20"/>
              </w:rPr>
              <w:t>2,400</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9EA2DBD" w14:textId="77777777" w:rsidR="00C53F1B" w:rsidRDefault="00000000">
            <w:r>
              <w:rPr>
                <w:color w:val="1A1A1A"/>
                <w:sz w:val="20"/>
                <w:szCs w:val="20"/>
              </w:rPr>
              <w:t>Standard HVAC (AS 1668)</w:t>
            </w:r>
          </w:p>
        </w:tc>
      </w:tr>
      <w:tr w:rsidR="00C53F1B" w14:paraId="1464E0C2" w14:textId="77777777">
        <w:tblPrEx>
          <w:tblCellMar>
            <w:top w:w="0" w:type="dxa"/>
            <w:bottom w:w="0" w:type="dxa"/>
          </w:tblCellMar>
        </w:tblPrEx>
        <w:tc>
          <w:tcPr>
            <w:tcW w:w="35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4EC87553" w14:textId="77777777" w:rsidR="00C53F1B" w:rsidRDefault="00000000">
            <w:r>
              <w:rPr>
                <w:color w:val="1A1A1A"/>
                <w:sz w:val="20"/>
                <w:szCs w:val="20"/>
              </w:rPr>
              <w:t>Block D — Combat &amp; strength sports</w:t>
            </w:r>
          </w:p>
        </w:tc>
        <w:tc>
          <w:tcPr>
            <w:tcW w:w="1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7B49E211" w14:textId="77777777" w:rsidR="00C53F1B" w:rsidRDefault="00000000">
            <w:r>
              <w:rPr>
                <w:color w:val="1A1A1A"/>
                <w:sz w:val="20"/>
                <w:szCs w:val="20"/>
              </w:rPr>
              <w:t>4 × 10-storey</w:t>
            </w:r>
          </w:p>
        </w:tc>
        <w:tc>
          <w:tcPr>
            <w:tcW w:w="13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5C729C1D" w14:textId="77777777" w:rsidR="00C53F1B" w:rsidRDefault="00000000">
            <w:r>
              <w:rPr>
                <w:color w:val="1A1A1A"/>
                <w:sz w:val="20"/>
                <w:szCs w:val="20"/>
              </w:rPr>
              <w:t>2,800</w:t>
            </w:r>
          </w:p>
        </w:tc>
        <w:tc>
          <w:tcPr>
            <w:tcW w:w="24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33DBDAC7" w14:textId="77777777" w:rsidR="00C53F1B" w:rsidRDefault="00000000">
            <w:r>
              <w:rPr>
                <w:color w:val="1A1A1A"/>
                <w:sz w:val="20"/>
                <w:szCs w:val="20"/>
              </w:rPr>
              <w:t>Standard HVAC (AS 1668)</w:t>
            </w:r>
          </w:p>
        </w:tc>
      </w:tr>
      <w:tr w:rsidR="00C53F1B" w14:paraId="54F5B835" w14:textId="77777777">
        <w:tblPrEx>
          <w:tblCellMar>
            <w:top w:w="0" w:type="dxa"/>
            <w:bottom w:w="0" w:type="dxa"/>
          </w:tblCellMar>
        </w:tblPrEx>
        <w:tc>
          <w:tcPr>
            <w:tcW w:w="3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7D0F2B7E" w14:textId="77777777" w:rsidR="00C53F1B" w:rsidRDefault="00000000">
            <w:r>
              <w:rPr>
                <w:color w:val="1A1A1A"/>
                <w:sz w:val="20"/>
                <w:szCs w:val="20"/>
              </w:rPr>
              <w:t>Block E — Cycling, rowing, sailing</w:t>
            </w:r>
          </w:p>
        </w:tc>
        <w:tc>
          <w:tcPr>
            <w:tcW w:w="1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4A0489BE" w14:textId="77777777" w:rsidR="00C53F1B" w:rsidRDefault="00000000">
            <w:r>
              <w:rPr>
                <w:color w:val="1A1A1A"/>
                <w:sz w:val="20"/>
                <w:szCs w:val="20"/>
              </w:rPr>
              <w:t>3 × 12-storey</w:t>
            </w:r>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2B25195D" w14:textId="77777777" w:rsidR="00C53F1B" w:rsidRDefault="00000000">
            <w:r>
              <w:rPr>
                <w:color w:val="1A1A1A"/>
                <w:sz w:val="20"/>
                <w:szCs w:val="20"/>
              </w:rPr>
              <w:t>2,800</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494AC85F" w14:textId="77777777" w:rsidR="00C53F1B" w:rsidRDefault="00000000">
            <w:r>
              <w:rPr>
                <w:color w:val="1A1A1A"/>
                <w:sz w:val="20"/>
                <w:szCs w:val="20"/>
              </w:rPr>
              <w:t>Standard HVAC (AS 1668)</w:t>
            </w:r>
          </w:p>
        </w:tc>
      </w:tr>
      <w:tr w:rsidR="00C53F1B" w14:paraId="755B21C1" w14:textId="77777777">
        <w:tblPrEx>
          <w:tblCellMar>
            <w:top w:w="0" w:type="dxa"/>
            <w:bottom w:w="0" w:type="dxa"/>
          </w:tblCellMar>
        </w:tblPrEx>
        <w:tc>
          <w:tcPr>
            <w:tcW w:w="35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71A89EF8" w14:textId="77777777" w:rsidR="00C53F1B" w:rsidRDefault="00000000">
            <w:r>
              <w:rPr>
                <w:color w:val="1A1A1A"/>
                <w:sz w:val="20"/>
                <w:szCs w:val="20"/>
              </w:rPr>
              <w:t>Block F — Officials and overflow</w:t>
            </w:r>
          </w:p>
        </w:tc>
        <w:tc>
          <w:tcPr>
            <w:tcW w:w="1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6CE78880" w14:textId="77777777" w:rsidR="00C53F1B" w:rsidRDefault="00000000">
            <w:r>
              <w:rPr>
                <w:color w:val="1A1A1A"/>
                <w:sz w:val="20"/>
                <w:szCs w:val="20"/>
              </w:rPr>
              <w:t>3 × 9-storey</w:t>
            </w:r>
          </w:p>
        </w:tc>
        <w:tc>
          <w:tcPr>
            <w:tcW w:w="13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096C92CF" w14:textId="77777777" w:rsidR="00C53F1B" w:rsidRDefault="00000000">
            <w:r>
              <w:rPr>
                <w:color w:val="1A1A1A"/>
                <w:sz w:val="20"/>
                <w:szCs w:val="20"/>
              </w:rPr>
              <w:t>2,800</w:t>
            </w:r>
          </w:p>
        </w:tc>
        <w:tc>
          <w:tcPr>
            <w:tcW w:w="24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2548CFDD" w14:textId="77777777" w:rsidR="00C53F1B" w:rsidRDefault="00000000">
            <w:r>
              <w:rPr>
                <w:color w:val="1A1A1A"/>
                <w:sz w:val="20"/>
                <w:szCs w:val="20"/>
              </w:rPr>
              <w:t>Standard HVAC (AS 1668)</w:t>
            </w:r>
          </w:p>
        </w:tc>
      </w:tr>
      <w:tr w:rsidR="00C53F1B" w14:paraId="0F8C0688" w14:textId="77777777">
        <w:tblPrEx>
          <w:tblCellMar>
            <w:top w:w="0" w:type="dxa"/>
            <w:bottom w:w="0" w:type="dxa"/>
          </w:tblCellMar>
        </w:tblPrEx>
        <w:tc>
          <w:tcPr>
            <w:tcW w:w="3500" w:type="dxa"/>
            <w:tcBorders>
              <w:top w:val="single" w:sz="4" w:space="0" w:color="1F3864"/>
              <w:left w:val="single" w:sz="4" w:space="0" w:color="1F3864"/>
              <w:bottom w:val="single" w:sz="4" w:space="0" w:color="1F3864"/>
              <w:right w:val="single" w:sz="4" w:space="0" w:color="1F3864"/>
            </w:tcBorders>
            <w:shd w:val="clear" w:color="auto" w:fill="DDE4EE"/>
            <w:tcMar>
              <w:top w:w="90" w:type="dxa"/>
              <w:left w:w="130" w:type="dxa"/>
              <w:bottom w:w="90" w:type="dxa"/>
              <w:right w:w="130" w:type="dxa"/>
            </w:tcMar>
          </w:tcPr>
          <w:p w14:paraId="442AEC76" w14:textId="77777777" w:rsidR="00C53F1B" w:rsidRDefault="00000000">
            <w:r>
              <w:rPr>
                <w:b/>
                <w:bCs/>
                <w:color w:val="1F3864"/>
                <w:sz w:val="21"/>
                <w:szCs w:val="21"/>
              </w:rPr>
              <w:t>Total</w:t>
            </w:r>
          </w:p>
        </w:tc>
        <w:tc>
          <w:tcPr>
            <w:tcW w:w="1800" w:type="dxa"/>
            <w:tcBorders>
              <w:top w:val="single" w:sz="4" w:space="0" w:color="1F3864"/>
              <w:left w:val="single" w:sz="4" w:space="0" w:color="1F3864"/>
              <w:bottom w:val="single" w:sz="4" w:space="0" w:color="1F3864"/>
              <w:right w:val="single" w:sz="4" w:space="0" w:color="1F3864"/>
            </w:tcBorders>
            <w:shd w:val="clear" w:color="auto" w:fill="DDE4EE"/>
            <w:tcMar>
              <w:top w:w="90" w:type="dxa"/>
              <w:left w:w="130" w:type="dxa"/>
              <w:bottom w:w="90" w:type="dxa"/>
              <w:right w:w="130" w:type="dxa"/>
            </w:tcMar>
          </w:tcPr>
          <w:p w14:paraId="3DBE54BE" w14:textId="77777777" w:rsidR="00C53F1B" w:rsidRDefault="00000000">
            <w:r>
              <w:rPr>
                <w:b/>
                <w:bCs/>
                <w:color w:val="1F3864"/>
                <w:sz w:val="21"/>
                <w:szCs w:val="21"/>
              </w:rPr>
              <w:t>20 buildings</w:t>
            </w:r>
          </w:p>
        </w:tc>
        <w:tc>
          <w:tcPr>
            <w:tcW w:w="1300" w:type="dxa"/>
            <w:tcBorders>
              <w:top w:val="single" w:sz="4" w:space="0" w:color="1F3864"/>
              <w:left w:val="single" w:sz="4" w:space="0" w:color="1F3864"/>
              <w:bottom w:val="single" w:sz="4" w:space="0" w:color="1F3864"/>
              <w:right w:val="single" w:sz="4" w:space="0" w:color="1F3864"/>
            </w:tcBorders>
            <w:shd w:val="clear" w:color="auto" w:fill="DDE4EE"/>
            <w:tcMar>
              <w:top w:w="90" w:type="dxa"/>
              <w:left w:w="130" w:type="dxa"/>
              <w:bottom w:w="90" w:type="dxa"/>
              <w:right w:w="130" w:type="dxa"/>
            </w:tcMar>
          </w:tcPr>
          <w:p w14:paraId="49C5C9C0" w14:textId="77777777" w:rsidR="00C53F1B" w:rsidRDefault="00000000">
            <w:r>
              <w:rPr>
                <w:b/>
                <w:bCs/>
                <w:color w:val="1F3864"/>
                <w:sz w:val="21"/>
                <w:szCs w:val="21"/>
              </w:rPr>
              <w:t>17,000</w:t>
            </w:r>
          </w:p>
        </w:tc>
        <w:tc>
          <w:tcPr>
            <w:tcW w:w="2400" w:type="dxa"/>
            <w:tcBorders>
              <w:top w:val="single" w:sz="4" w:space="0" w:color="1F3864"/>
              <w:left w:val="single" w:sz="4" w:space="0" w:color="1F3864"/>
              <w:bottom w:val="single" w:sz="4" w:space="0" w:color="1F3864"/>
              <w:right w:val="single" w:sz="4" w:space="0" w:color="1F3864"/>
            </w:tcBorders>
            <w:shd w:val="clear" w:color="auto" w:fill="DDE4EE"/>
            <w:tcMar>
              <w:top w:w="90" w:type="dxa"/>
              <w:left w:w="130" w:type="dxa"/>
              <w:bottom w:w="90" w:type="dxa"/>
              <w:right w:w="130" w:type="dxa"/>
            </w:tcMar>
          </w:tcPr>
          <w:p w14:paraId="43D9A497" w14:textId="77777777" w:rsidR="00C53F1B" w:rsidRDefault="00000000">
            <w:r>
              <w:rPr>
                <w:b/>
                <w:bCs/>
                <w:color w:val="1F3864"/>
                <w:sz w:val="21"/>
                <w:szCs w:val="21"/>
              </w:rPr>
              <w:t>—</w:t>
            </w:r>
          </w:p>
        </w:tc>
      </w:tr>
    </w:tbl>
    <w:p w14:paraId="09E34270" w14:textId="77777777" w:rsidR="00C53F1B" w:rsidRDefault="00000000">
      <w:pPr>
        <w:spacing w:before="60" w:after="200"/>
      </w:pPr>
      <w:r>
        <w:rPr>
          <w:color w:val="595959"/>
          <w:sz w:val="20"/>
          <w:szCs w:val="20"/>
        </w:rPr>
        <w:t>Table 5.1: Athletes' Village capacity. Source: Burswood Peninsula Master Plan, October 2018.</w:t>
      </w:r>
    </w:p>
    <w:p w14:paraId="6E786A8C" w14:textId="77777777" w:rsidR="00C53F1B" w:rsidRDefault="00000000">
      <w:pPr>
        <w:pStyle w:val="Heading2"/>
      </w:pPr>
      <w:bookmarkStart w:id="17" w:name="_Toc228881681"/>
      <w:r>
        <w:t>5.2 Services and amenities</w:t>
      </w:r>
      <w:bookmarkEnd w:id="17"/>
    </w:p>
    <w:p w14:paraId="1C9C6EFA" w14:textId="77777777" w:rsidR="00C53F1B" w:rsidRDefault="00000000">
      <w:pPr>
        <w:spacing w:before="120" w:after="120" w:line="276" w:lineRule="auto"/>
      </w:pPr>
      <w:r>
        <w:rPr>
          <w:color w:val="1A1A1A"/>
        </w:rPr>
        <w:t>The Village provides a 24-hour main dining hall (capacity 5,000 concurrent diners), a polyclinic with on-site pathology and imaging, a recreation centre, an interfaith chapel, a barber and salon, a general store, a bank, and a post office. The Polyclinic is staffed by Royal Perth Hospital and Sir Charles Gairdner Hospital under a rotation agreement with the Western Australian Department of Health.</w:t>
      </w:r>
    </w:p>
    <w:p w14:paraId="385A38E0" w14:textId="77777777" w:rsidR="00C53F1B" w:rsidRDefault="00000000">
      <w:pPr>
        <w:pStyle w:val="Heading2"/>
      </w:pPr>
      <w:bookmarkStart w:id="18" w:name="_Toc228881682"/>
      <w:r>
        <w:t xml:space="preserve">5.3 </w:t>
      </w:r>
      <w:proofErr w:type="gramStart"/>
      <w:r>
        <w:t>Post-Games</w:t>
      </w:r>
      <w:proofErr w:type="gramEnd"/>
      <w:r>
        <w:t xml:space="preserve"> legacy</w:t>
      </w:r>
      <w:bookmarkEnd w:id="18"/>
    </w:p>
    <w:p w14:paraId="7844AADC" w14:textId="77777777" w:rsidR="00C53F1B" w:rsidRDefault="00000000">
      <w:pPr>
        <w:spacing w:before="120" w:after="120" w:line="276" w:lineRule="auto"/>
      </w:pPr>
      <w:r>
        <w:rPr>
          <w:color w:val="1A1A1A"/>
        </w:rPr>
        <w:t>Following the Games, the Village converts to mixed-tenure residential accommodation. Forty per cent of dwellings will be retained as social and affordable housing administered by the Department of Communities; thirty per cent will be sold under WA's First Home Buyers programme; thirty per cent will be released to the open market. The Burswood Peninsula Master Plan was endorsed by the WA Cabinet on 4 September 2018.</w:t>
      </w:r>
    </w:p>
    <w:p w14:paraId="7D5BB0AE" w14:textId="77777777" w:rsidR="00C53F1B" w:rsidRDefault="00000000">
      <w:pPr>
        <w:pStyle w:val="Heading2"/>
      </w:pPr>
      <w:bookmarkStart w:id="19" w:name="_Toc228881683"/>
      <w:r>
        <w:t>5.4 Quokka encounter programme</w:t>
      </w:r>
      <w:bookmarkEnd w:id="19"/>
    </w:p>
    <w:p w14:paraId="4195FFAB" w14:textId="77777777" w:rsidR="00C53F1B" w:rsidRDefault="00000000">
      <w:pPr>
        <w:spacing w:before="120" w:after="120" w:line="276" w:lineRule="auto"/>
      </w:pPr>
      <w:r>
        <w:rPr>
          <w:color w:val="1A1A1A"/>
        </w:rPr>
        <w:lastRenderedPageBreak/>
        <w:t>Athletes will be offered, at no charge, a chartered ferry transfer to Rottnest Island during their non-competition rest days for an organised Quokka encounter programme. The programme is delivered in partnership with Tourism Western Australia and the Rottnest Island Authority. Capacity has been modelled to accommodate every athlete and accredited official across the 17-day Games period. The programme is consistent with IUCN guidance on responsible wildlife interaction; touching, feeding, and any handling of Quokkas is prohibited under WA Wildlife Conservation Act 1950.</w:t>
      </w:r>
    </w:p>
    <w:p w14:paraId="327E11B9" w14:textId="77777777" w:rsidR="00C53F1B" w:rsidRDefault="00000000">
      <w:r>
        <w:br w:type="page"/>
      </w:r>
    </w:p>
    <w:p w14:paraId="297AAE71" w14:textId="77777777" w:rsidR="00C53F1B" w:rsidRDefault="00000000">
      <w:pPr>
        <w:pStyle w:val="Heading1"/>
      </w:pPr>
      <w:bookmarkStart w:id="20" w:name="_Toc228881684"/>
      <w:r>
        <w:lastRenderedPageBreak/>
        <w:t>6. Transport and Infrastructure</w:t>
      </w:r>
      <w:bookmarkEnd w:id="20"/>
    </w:p>
    <w:p w14:paraId="6282DC6C" w14:textId="77777777" w:rsidR="00C53F1B" w:rsidRDefault="00000000">
      <w:pPr>
        <w:spacing w:before="120" w:after="120" w:line="276" w:lineRule="auto"/>
      </w:pPr>
      <w:r>
        <w:rPr>
          <w:color w:val="1A1A1A"/>
        </w:rPr>
        <w:t>Perth's transport offer rests on three pillars: the existing Transperth rail and bus network, the Perth Airport rail line opened in 2022, and the Olympic-lane bus rapid transit overlay activated for the Games period.</w:t>
      </w:r>
    </w:p>
    <w:p w14:paraId="514EFDFD" w14:textId="77777777" w:rsidR="00C53F1B" w:rsidRDefault="00000000">
      <w:pPr>
        <w:pStyle w:val="Heading2"/>
      </w:pPr>
      <w:bookmarkStart w:id="21" w:name="_Toc228881685"/>
      <w:r>
        <w:t>6.1 Rail network</w:t>
      </w:r>
      <w:bookmarkEnd w:id="21"/>
    </w:p>
    <w:p w14:paraId="5E72BC2F" w14:textId="77777777" w:rsidR="00C53F1B" w:rsidRDefault="00000000">
      <w:pPr>
        <w:spacing w:before="120" w:after="120" w:line="276" w:lineRule="auto"/>
      </w:pPr>
      <w:r>
        <w:rPr>
          <w:color w:val="1A1A1A"/>
        </w:rPr>
        <w:t>Transperth operates a 180 km electrified rail network across five lines, all of which serve at least one Olympic venue cluster. The Airport Line (opened 2022) connects Perth Airport directly to Optus Stadium via a single change at Bayswater; total transfer time is 22 minutes.</w:t>
      </w:r>
    </w:p>
    <w:p w14:paraId="72AA38C7" w14:textId="77777777" w:rsidR="00C53F1B" w:rsidRDefault="00000000">
      <w:pPr>
        <w:pStyle w:val="Heading2"/>
      </w:pPr>
      <w:bookmarkStart w:id="22" w:name="_Toc228881686"/>
      <w:r>
        <w:t>6.2 Aviation capacity</w:t>
      </w:r>
      <w:bookmarkEnd w:id="22"/>
    </w:p>
    <w:p w14:paraId="0751251B" w14:textId="77777777" w:rsidR="00C53F1B" w:rsidRDefault="00000000">
      <w:pPr>
        <w:spacing w:before="120" w:after="120" w:line="276" w:lineRule="auto"/>
      </w:pPr>
      <w:r>
        <w:rPr>
          <w:color w:val="1A1A1A"/>
        </w:rPr>
        <w:t>Perth Airport handled 14.6 million passengers in financial year 2017-18 and is projected to handle 21 million by 2032 under existing master planning. Olympic peak demand is modelled at 1.4 million additional international passengers across the Games window. Capacity uplift investments are committed within the WA government's existing capital plan.</w:t>
      </w:r>
    </w:p>
    <w:p w14:paraId="4F092532" w14:textId="77777777" w:rsidR="00C53F1B" w:rsidRDefault="00000000">
      <w:pPr>
        <w:pStyle w:val="Heading2"/>
      </w:pPr>
      <w:bookmarkStart w:id="23" w:name="_Toc228881687"/>
      <w:r>
        <w:t>6.3 Maritime</w:t>
      </w:r>
      <w:bookmarkEnd w:id="23"/>
    </w:p>
    <w:p w14:paraId="2CE4C555" w14:textId="77777777" w:rsidR="00C53F1B" w:rsidRDefault="00000000">
      <w:pPr>
        <w:spacing w:before="120" w:after="120" w:line="276" w:lineRule="auto"/>
      </w:pPr>
      <w:r>
        <w:rPr>
          <w:color w:val="1A1A1A"/>
        </w:rPr>
        <w:t>Fremantle Port operates the largest container port on the Australian west coast and provides the broadcast vessel berthing for the marine venues at Fremantle Inner Harbour and Cottesloe. Cruise-ship moorings at Victoria Quay are reserved for IOC-affiliated travel during the Games period.</w:t>
      </w:r>
    </w:p>
    <w:p w14:paraId="5F73235F" w14:textId="77777777" w:rsidR="00C53F1B" w:rsidRDefault="00000000">
      <w:pPr>
        <w:pStyle w:val="Heading2"/>
      </w:pPr>
      <w:bookmarkStart w:id="24" w:name="_Toc228881688"/>
      <w:r>
        <w:t>6.4 Olympic-lane overlay</w:t>
      </w:r>
      <w:bookmarkEnd w:id="24"/>
    </w:p>
    <w:p w14:paraId="5F20D704" w14:textId="77777777" w:rsidR="00C53F1B" w:rsidRDefault="00000000">
      <w:pPr>
        <w:spacing w:before="120" w:after="120" w:line="276" w:lineRule="auto"/>
      </w:pPr>
      <w:r>
        <w:rPr>
          <w:color w:val="1A1A1A"/>
        </w:rPr>
        <w:t>During the Games period, dedicated Olympic transport lanes will be marked on six arterial routes: Great Eastern Highway, Tonkin Highway, the Mitchell Freeway, the Kwinana Freeway, Stirling Highway, and Marmion Avenue. The overlay is modelled on the Sydney 2000 transport operations and reverts to standard configuration within 48 hours of the Closing Ceremony.</w:t>
      </w:r>
    </w:p>
    <w:p w14:paraId="09E596B0" w14:textId="77777777" w:rsidR="00C53F1B" w:rsidRDefault="00000000">
      <w:r>
        <w:br w:type="page"/>
      </w:r>
    </w:p>
    <w:p w14:paraId="47D2966F" w14:textId="77777777" w:rsidR="00C53F1B" w:rsidRDefault="00000000">
      <w:pPr>
        <w:pStyle w:val="Heading1"/>
      </w:pPr>
      <w:bookmarkStart w:id="25" w:name="_Toc228881689"/>
      <w:r>
        <w:lastRenderedPageBreak/>
        <w:t>7. Sustainability and Legacy</w:t>
      </w:r>
      <w:bookmarkEnd w:id="25"/>
    </w:p>
    <w:p w14:paraId="74E1F883" w14:textId="77777777" w:rsidR="00C53F1B" w:rsidRDefault="00000000">
      <w:pPr>
        <w:spacing w:before="120" w:after="120" w:line="276" w:lineRule="auto"/>
      </w:pPr>
      <w:r>
        <w:rPr>
          <w:color w:val="1A1A1A"/>
        </w:rPr>
        <w:t xml:space="preserve">Perth 2032 commits to net-zero operational emissions across the Games period, supported by a 350 GWh renewable-energy commitment delivered via the existing Greenough River Solar Farm and the Walkaway Wind Farm expansion. The renewable-energy commitment is independently certified by </w:t>
      </w:r>
      <w:proofErr w:type="spellStart"/>
      <w:r>
        <w:rPr>
          <w:color w:val="1A1A1A"/>
        </w:rPr>
        <w:t>GreenPower</w:t>
      </w:r>
      <w:proofErr w:type="spellEnd"/>
      <w:r>
        <w:rPr>
          <w:color w:val="1A1A1A"/>
        </w:rPr>
        <w:t>.</w:t>
      </w:r>
    </w:p>
    <w:p w14:paraId="1C07B1C7" w14:textId="77777777" w:rsidR="00C53F1B" w:rsidRDefault="00000000">
      <w:pPr>
        <w:pStyle w:val="Heading2"/>
      </w:pPr>
      <w:bookmarkStart w:id="26" w:name="_Toc228881690"/>
      <w:r>
        <w:t>7.1 Carbon offsets and accounting</w:t>
      </w:r>
      <w:bookmarkEnd w:id="26"/>
    </w:p>
    <w:p w14:paraId="6E3BE041" w14:textId="77777777" w:rsidR="00C53F1B" w:rsidRDefault="00000000">
      <w:pPr>
        <w:spacing w:before="120" w:after="120" w:line="276" w:lineRule="auto"/>
      </w:pPr>
      <w:r>
        <w:rPr>
          <w:color w:val="1A1A1A"/>
        </w:rPr>
        <w:t>Residual emissions from international travel are offset through the Western Australian government's accredited offset programme, concentrated on rangeland regeneration and indigenous-managed savanna burning in the Kimberley region. Carbon accounting is audited annually by KPMG.</w:t>
      </w:r>
    </w:p>
    <w:p w14:paraId="0A1709F7" w14:textId="77777777" w:rsidR="00C53F1B" w:rsidRDefault="00000000">
      <w:pPr>
        <w:pStyle w:val="Heading2"/>
      </w:pPr>
      <w:bookmarkStart w:id="27" w:name="_Toc228881691"/>
      <w:r>
        <w:t>7.2 Wildlife conservation legacy</w:t>
      </w:r>
      <w:bookmarkEnd w:id="27"/>
    </w:p>
    <w:p w14:paraId="30E5EF05" w14:textId="77777777" w:rsidR="00C53F1B" w:rsidRDefault="00000000">
      <w:pPr>
        <w:spacing w:before="120" w:after="120" w:line="276" w:lineRule="auto"/>
      </w:pPr>
      <w:r>
        <w:rPr>
          <w:color w:val="1A1A1A"/>
        </w:rPr>
        <w:t xml:space="preserve">A central legacy commitment of Perth 2032 is the Quokka Conservation Endowment: A$25 million ringfenced for habitat protection on Rottnest Island and the </w:t>
      </w:r>
      <w:proofErr w:type="gramStart"/>
      <w:r>
        <w:rPr>
          <w:color w:val="1A1A1A"/>
        </w:rPr>
        <w:t>South West</w:t>
      </w:r>
      <w:proofErr w:type="gramEnd"/>
      <w:r>
        <w:rPr>
          <w:color w:val="1A1A1A"/>
        </w:rPr>
        <w:t>, administered by the Department of Biodiversity, Conservation and Attractions. The endowment is funded from a five per cent levy on Quincy-branded merchandise and is committed in perpetuity, regardless of Games financial outcomes.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53F1B" w14:paraId="0EEC6CF4" w14:textId="77777777">
        <w:tblPrEx>
          <w:tblCellMar>
            <w:top w:w="0" w:type="dxa"/>
            <w:bottom w:w="0" w:type="dxa"/>
          </w:tblCellMar>
        </w:tblPrEx>
        <w:tc>
          <w:tcPr>
            <w:tcW w:w="9026" w:type="dxa"/>
            <w:tcBorders>
              <w:top w:val="none" w:sz="0" w:space="0" w:color="FFFFFF"/>
              <w:left w:val="single" w:sz="24" w:space="0" w:color="C19A4B"/>
              <w:bottom w:val="none" w:sz="0" w:space="0" w:color="FFFFFF"/>
              <w:right w:val="none" w:sz="0" w:space="0" w:color="FFFFFF"/>
            </w:tcBorders>
            <w:tcMar>
              <w:top w:w="200" w:type="dxa"/>
              <w:left w:w="360" w:type="dxa"/>
              <w:bottom w:w="200" w:type="dxa"/>
              <w:right w:w="360" w:type="dxa"/>
            </w:tcMar>
          </w:tcPr>
          <w:p w14:paraId="000F65B1" w14:textId="77777777" w:rsidR="00C53F1B" w:rsidRDefault="00000000">
            <w:pPr>
              <w:spacing w:after="80"/>
            </w:pPr>
            <w:r>
              <w:rPr>
                <w:color w:val="1F3864"/>
                <w:sz w:val="26"/>
                <w:szCs w:val="26"/>
              </w:rPr>
              <w:t>"Vulnerable species do not benefit from short-term campaigns. Perth's endowment commitment, secured against the merchandise revenue stream, is the first time a host city has structurally tied mascot revenue to species protection."</w:t>
            </w:r>
          </w:p>
          <w:p w14:paraId="69BCE6BA" w14:textId="77777777" w:rsidR="00C53F1B" w:rsidRDefault="00000000">
            <w:pPr>
              <w:jc w:val="right"/>
            </w:pPr>
            <w:r>
              <w:rPr>
                <w:color w:val="595959"/>
                <w:sz w:val="20"/>
                <w:szCs w:val="20"/>
              </w:rPr>
              <w:t>— Dr Margaret Byrne, Director, Biodiversity and Conservation Science Division, WA</w:t>
            </w:r>
          </w:p>
        </w:tc>
      </w:tr>
    </w:tbl>
    <w:p w14:paraId="1F1C85AA" w14:textId="77777777" w:rsidR="00C53F1B" w:rsidRDefault="00000000">
      <w:pPr>
        <w:pStyle w:val="Heading2"/>
      </w:pPr>
      <w:bookmarkStart w:id="28" w:name="_Toc228881692"/>
      <w:r>
        <w:t>7.3 Construction sustainability</w:t>
      </w:r>
      <w:bookmarkEnd w:id="28"/>
    </w:p>
    <w:p w14:paraId="24408701" w14:textId="77777777" w:rsidR="00C53F1B" w:rsidRDefault="00000000">
      <w:pPr>
        <w:spacing w:before="120" w:after="120" w:line="276" w:lineRule="auto"/>
      </w:pPr>
      <w:r>
        <w:rPr>
          <w:color w:val="1A1A1A"/>
        </w:rPr>
        <w:t>All new venue construction is required to achieve a 6-Star Green Star rating from the Green Building Council of Australia. Concrete inputs are sourced from suppliers with verified low-carbon mix specifications. Steel inputs use minimum 60 per cent recycled content from BlueScope's Western Port and Port Kembla operations.</w:t>
      </w:r>
    </w:p>
    <w:p w14:paraId="5A87E656" w14:textId="77777777" w:rsidR="00C53F1B" w:rsidRDefault="00000000">
      <w:r>
        <w:br w:type="page"/>
      </w:r>
    </w:p>
    <w:p w14:paraId="2A9C5B31" w14:textId="77777777" w:rsidR="00C53F1B" w:rsidRDefault="00000000">
      <w:pPr>
        <w:pStyle w:val="Heading1"/>
      </w:pPr>
      <w:bookmarkStart w:id="29" w:name="_Toc228881693"/>
      <w:r>
        <w:lastRenderedPageBreak/>
        <w:t>8. Cultural Programme and Opening Ceremony</w:t>
      </w:r>
      <w:bookmarkEnd w:id="29"/>
    </w:p>
    <w:p w14:paraId="4B633A7F" w14:textId="77777777" w:rsidR="00C53F1B" w:rsidRDefault="00000000">
      <w:pPr>
        <w:spacing w:before="120" w:after="120" w:line="276" w:lineRule="auto"/>
      </w:pPr>
      <w:r>
        <w:rPr>
          <w:color w:val="1A1A1A"/>
        </w:rPr>
        <w:t xml:space="preserve">Perth 2032's cultural programme is structured around three threads: the Whadjuk Noongar cultural sequence (delivered in partnership with the Whadjuk Working Party of the </w:t>
      </w:r>
      <w:proofErr w:type="gramStart"/>
      <w:r>
        <w:rPr>
          <w:color w:val="1A1A1A"/>
        </w:rPr>
        <w:t>South West</w:t>
      </w:r>
      <w:proofErr w:type="gramEnd"/>
      <w:r>
        <w:rPr>
          <w:color w:val="1A1A1A"/>
        </w:rPr>
        <w:t xml:space="preserve"> Aboriginal Land and Sea Council); a contemporary Australian arts programme curated jointly by the WA Museum and the Art Gallery of Western Australia; and a mascot engagement strategy built around Quincy.</w:t>
      </w:r>
    </w:p>
    <w:p w14:paraId="38C7EFDB" w14:textId="77777777" w:rsidR="00C53F1B" w:rsidRDefault="00000000">
      <w:pPr>
        <w:pStyle w:val="Heading2"/>
      </w:pPr>
      <w:bookmarkStart w:id="30" w:name="_Toc228881694"/>
      <w:r>
        <w:t>8.1 Whadjuk Noongar cultural sequence</w:t>
      </w:r>
      <w:bookmarkEnd w:id="30"/>
    </w:p>
    <w:p w14:paraId="6949769A" w14:textId="77777777" w:rsidR="00C53F1B" w:rsidRDefault="00000000">
      <w:pPr>
        <w:spacing w:before="120" w:after="120" w:line="276" w:lineRule="auto"/>
      </w:pPr>
      <w:r>
        <w:rPr>
          <w:color w:val="1A1A1A"/>
        </w:rPr>
        <w:t xml:space="preserve">The Opening Ceremony incorporates a 12-minute Whadjuk Noongar Welcome to Country, designed in collaboration with senior Whadjuk elders and led by the Karda Noongar dance company. The sequence honours the six Noongar seasons (Birak, </w:t>
      </w:r>
      <w:proofErr w:type="spellStart"/>
      <w:r>
        <w:rPr>
          <w:color w:val="1A1A1A"/>
        </w:rPr>
        <w:t>Bunuru</w:t>
      </w:r>
      <w:proofErr w:type="spellEnd"/>
      <w:r>
        <w:rPr>
          <w:color w:val="1A1A1A"/>
        </w:rPr>
        <w:t xml:space="preserve">, </w:t>
      </w:r>
      <w:proofErr w:type="spellStart"/>
      <w:r>
        <w:rPr>
          <w:color w:val="1A1A1A"/>
        </w:rPr>
        <w:t>Djeran</w:t>
      </w:r>
      <w:proofErr w:type="spellEnd"/>
      <w:r>
        <w:rPr>
          <w:color w:val="1A1A1A"/>
        </w:rPr>
        <w:t xml:space="preserve">, </w:t>
      </w:r>
      <w:proofErr w:type="spellStart"/>
      <w:r>
        <w:rPr>
          <w:color w:val="1A1A1A"/>
        </w:rPr>
        <w:t>Makuru</w:t>
      </w:r>
      <w:proofErr w:type="spellEnd"/>
      <w:r>
        <w:rPr>
          <w:color w:val="1A1A1A"/>
        </w:rPr>
        <w:t xml:space="preserve">, </w:t>
      </w:r>
      <w:proofErr w:type="spellStart"/>
      <w:r>
        <w:rPr>
          <w:color w:val="1A1A1A"/>
        </w:rPr>
        <w:t>Djilba</w:t>
      </w:r>
      <w:proofErr w:type="spellEnd"/>
      <w:r>
        <w:rPr>
          <w:color w:val="1A1A1A"/>
        </w:rPr>
        <w:t xml:space="preserve">, </w:t>
      </w:r>
      <w:proofErr w:type="spellStart"/>
      <w:r>
        <w:rPr>
          <w:color w:val="1A1A1A"/>
        </w:rPr>
        <w:t>Kambarang</w:t>
      </w:r>
      <w:proofErr w:type="spellEnd"/>
      <w:r>
        <w:rPr>
          <w:color w:val="1A1A1A"/>
        </w:rPr>
        <w:t xml:space="preserve">) and the </w:t>
      </w:r>
      <w:proofErr w:type="spellStart"/>
      <w:r>
        <w:rPr>
          <w:color w:val="1A1A1A"/>
        </w:rPr>
        <w:t>Wagyl</w:t>
      </w:r>
      <w:proofErr w:type="spellEnd"/>
      <w:r>
        <w:rPr>
          <w:color w:val="1A1A1A"/>
        </w:rPr>
        <w:t>, the Rainbow Serpent of the Swan and Canning Rivers. The sequence has been reviewed by the Whadjuk Working Party and is delivered under cultural protocols agreed in writing in October 2018.</w:t>
      </w:r>
    </w:p>
    <w:p w14:paraId="4257EE2D" w14:textId="77777777" w:rsidR="00C53F1B" w:rsidRDefault="00000000">
      <w:pPr>
        <w:pStyle w:val="Heading2"/>
      </w:pPr>
      <w:bookmarkStart w:id="31" w:name="_Toc228881695"/>
      <w:r>
        <w:t>8.2 Mascot engagement strategy</w:t>
      </w:r>
      <w:bookmarkEnd w:id="31"/>
    </w:p>
    <w:p w14:paraId="42591455" w14:textId="77777777" w:rsidR="00C53F1B" w:rsidRDefault="00000000">
      <w:pPr>
        <w:spacing w:before="120" w:after="120" w:line="276" w:lineRule="auto"/>
      </w:pPr>
      <w:r>
        <w:rPr>
          <w:color w:val="1A1A1A"/>
        </w:rPr>
        <w:t xml:space="preserve">Quincy the Quokka is the official mascot of the Games of the XXXIII Olympiad. Quincy is a representation of </w:t>
      </w:r>
      <w:proofErr w:type="spellStart"/>
      <w:r>
        <w:rPr>
          <w:color w:val="1A1A1A"/>
        </w:rPr>
        <w:t>Setonix</w:t>
      </w:r>
      <w:proofErr w:type="spellEnd"/>
      <w:r>
        <w:rPr>
          <w:color w:val="1A1A1A"/>
        </w:rPr>
        <w:t xml:space="preserve"> brachyurus — the Quokka — endemic to Western Australia. Quincy's brand is administered by Tourism Western Australia under licence to the Perth 2032 Organising Committee.</w:t>
      </w:r>
    </w:p>
    <w:p w14:paraId="6E6DCE81" w14:textId="77777777" w:rsidR="00C53F1B" w:rsidRDefault="00000000">
      <w:pPr>
        <w:pStyle w:val="Heading3"/>
      </w:pPr>
      <w:bookmarkStart w:id="32" w:name="_Toc228881696"/>
      <w:r>
        <w:t>8.2.1 Brand foundation</w:t>
      </w:r>
      <w:bookmarkEnd w:id="32"/>
    </w:p>
    <w:p w14:paraId="05980B99" w14:textId="77777777" w:rsidR="00C53F1B" w:rsidRDefault="00000000">
      <w:pPr>
        <w:spacing w:before="120" w:after="120" w:line="276" w:lineRule="auto"/>
      </w:pPr>
      <w:r>
        <w:rPr>
          <w:color w:val="1A1A1A"/>
        </w:rPr>
        <w:t>Quincy's brand foundation rests on three established public-domain characteristics of the Quokka: the species' permanently smiling facial structure, attributable to the geometry of the species' upper jaw and lip; the species' demonstrated comfort with human proximity, particularly on Rottnest Island; and the species' status as a globally-recognised subject of social-media tourism (the so-called "Quokka selfie" phenomenon, visible across approximately 11.4 million Instagram posts tagged #quokka and #rottnestisland as of October 2018).</w:t>
      </w:r>
    </w:p>
    <w:p w14:paraId="3501B33E" w14:textId="77777777" w:rsidR="00C53F1B" w:rsidRDefault="00000000">
      <w:pPr>
        <w:pStyle w:val="Heading3"/>
      </w:pPr>
      <w:bookmarkStart w:id="33" w:name="_Toc228881697"/>
      <w:r>
        <w:t>8.2.2 Conservation context</w:t>
      </w:r>
      <w:bookmarkEnd w:id="33"/>
    </w:p>
    <w:p w14:paraId="1D461004" w14:textId="77777777" w:rsidR="00C53F1B" w:rsidRDefault="00000000">
      <w:pPr>
        <w:spacing w:before="120" w:after="120" w:line="276" w:lineRule="auto"/>
      </w:pPr>
      <w:r>
        <w:rPr>
          <w:color w:val="1A1A1A"/>
        </w:rPr>
        <w:t>The Quokka is listed as Vulnerable on the IUCN Red List. The mascot engagement strategy is designed to be conservation-positive: every official Quincy interaction is accompanied by clear messaging on responsible wildlife encounter, and the merchandise revenue stream funds the Quokka Conservation Endowment described in Section 7.2.</w:t>
      </w:r>
    </w:p>
    <w:p w14:paraId="23E12FAA" w14:textId="77777777" w:rsidR="00C53F1B" w:rsidRDefault="00000000">
      <w:pPr>
        <w:pStyle w:val="Heading3"/>
      </w:pPr>
      <w:bookmarkStart w:id="34" w:name="_Toc228881698"/>
      <w:r>
        <w:t>8.2.3 International visibility</w:t>
      </w:r>
      <w:bookmarkEnd w:id="34"/>
    </w:p>
    <w:p w14:paraId="10EE47CE" w14:textId="77777777" w:rsidR="00C53F1B" w:rsidRDefault="00000000">
      <w:pPr>
        <w:spacing w:before="120" w:after="120" w:line="276" w:lineRule="auto"/>
      </w:pPr>
      <w:r>
        <w:rPr>
          <w:color w:val="1A1A1A"/>
        </w:rPr>
        <w:t xml:space="preserve">Independent brand-awareness research commissioned from Roy Morgan in September 2018 indicates that 67 per cent of surveyed adults in the United Kingdom, 54 per cent in Germany, and 41 per cent in Japan can identify the Quokka as an Australian native species when shown a photograph without context. Comparable awareness for designed mascots from previous Games has been measured below 20 per cent in the same markets at the same point in the bid cycle. Perth's mascot </w:t>
      </w:r>
      <w:r>
        <w:rPr>
          <w:color w:val="1A1A1A"/>
        </w:rPr>
        <w:lastRenderedPageBreak/>
        <w:t>proposition therefore enters the Games campaign with a brand-recognition foundation no candidate city has previously offered.</w:t>
      </w:r>
    </w:p>
    <w:p w14:paraId="20456269" w14:textId="77777777" w:rsidR="00C53F1B" w:rsidRDefault="00000000">
      <w:pPr>
        <w:pStyle w:val="Heading3"/>
      </w:pPr>
      <w:bookmarkStart w:id="35" w:name="_Toc228881699"/>
      <w:r>
        <w:t>8.2.4 Image rights and protection</w:t>
      </w:r>
      <w:bookmarkEnd w:id="35"/>
    </w:p>
    <w:p w14:paraId="20DD0EF1" w14:textId="77777777" w:rsidR="00C53F1B" w:rsidRDefault="00000000">
      <w:pPr>
        <w:spacing w:before="120" w:after="120" w:line="276" w:lineRule="auto"/>
      </w:pPr>
      <w:r>
        <w:rPr>
          <w:color w:val="1A1A1A"/>
        </w:rPr>
        <w:t xml:space="preserve">The Quincy character has been registered as a </w:t>
      </w:r>
      <w:proofErr w:type="gramStart"/>
      <w:r>
        <w:rPr>
          <w:color w:val="1A1A1A"/>
        </w:rPr>
        <w:t>trade mark</w:t>
      </w:r>
      <w:proofErr w:type="gramEnd"/>
      <w:r>
        <w:rPr>
          <w:color w:val="1A1A1A"/>
        </w:rPr>
        <w:t xml:space="preserve"> by IP Australia (registration 2148729, classes 16, 25, 28, 41) and has been enrolled in the IOC Worldwide Brand Protection Programme. Unauthorised use of the Quincy mark in the territories of the Olympic Movement will be enforced through the Olympic Charter Rule 7-14 and the WA </w:t>
      </w:r>
      <w:proofErr w:type="gramStart"/>
      <w:r>
        <w:rPr>
          <w:color w:val="1A1A1A"/>
        </w:rPr>
        <w:t>Trade Marks</w:t>
      </w:r>
      <w:proofErr w:type="gramEnd"/>
      <w:r>
        <w:rPr>
          <w:color w:val="1A1A1A"/>
        </w:rPr>
        <w:t xml:space="preserve"> Act 1995.</w:t>
      </w:r>
    </w:p>
    <w:p w14:paraId="5B930140" w14:textId="77777777" w:rsidR="00C53F1B" w:rsidRDefault="00000000">
      <w:pPr>
        <w:pStyle w:val="Heading2"/>
      </w:pPr>
      <w:bookmarkStart w:id="36" w:name="_Toc228881700"/>
      <w:r>
        <w:t>8.3 Contemporary arts programme</w:t>
      </w:r>
      <w:bookmarkEnd w:id="36"/>
    </w:p>
    <w:p w14:paraId="31A3DBF4" w14:textId="77777777" w:rsidR="00C53F1B" w:rsidRDefault="00000000">
      <w:pPr>
        <w:spacing w:before="120" w:after="120" w:line="276" w:lineRule="auto"/>
      </w:pPr>
      <w:r>
        <w:rPr>
          <w:color w:val="1A1A1A"/>
        </w:rPr>
        <w:t>The contemporary arts programme runs across the four-week Cultural Olympiad window, anchored by exhibitions at the WA Museum (</w:t>
      </w:r>
      <w:proofErr w:type="spellStart"/>
      <w:r>
        <w:rPr>
          <w:color w:val="1A1A1A"/>
        </w:rPr>
        <w:t>Boola</w:t>
      </w:r>
      <w:proofErr w:type="spellEnd"/>
      <w:r>
        <w:rPr>
          <w:color w:val="1A1A1A"/>
        </w:rPr>
        <w:t xml:space="preserve"> </w:t>
      </w:r>
      <w:proofErr w:type="spellStart"/>
      <w:r>
        <w:rPr>
          <w:color w:val="1A1A1A"/>
        </w:rPr>
        <w:t>Bardip</w:t>
      </w:r>
      <w:proofErr w:type="spellEnd"/>
      <w:r>
        <w:rPr>
          <w:color w:val="1A1A1A"/>
        </w:rPr>
        <w:t>), the Art Gallery of WA, the Perth Institute of Contemporary Arts, and the State Library. A coastal sculpture programme runs along the Cottesloe foreshore and at Scarborough Beach.</w:t>
      </w:r>
    </w:p>
    <w:p w14:paraId="7639E219" w14:textId="77777777" w:rsidR="00C53F1B" w:rsidRDefault="00000000">
      <w:pPr>
        <w:pStyle w:val="Heading2"/>
      </w:pPr>
      <w:bookmarkStart w:id="37" w:name="_Toc228881701"/>
      <w:r>
        <w:t xml:space="preserve">8.4 Opening Ceremony </w:t>
      </w:r>
      <w:proofErr w:type="spellStart"/>
      <w:r>
        <w:t>runsheet</w:t>
      </w:r>
      <w:bookmarkEnd w:id="37"/>
      <w:proofErr w:type="spellEnd"/>
    </w:p>
    <w:p w14:paraId="25A3DDB5" w14:textId="77777777" w:rsidR="00C53F1B" w:rsidRDefault="00000000">
      <w:pPr>
        <w:spacing w:before="120" w:after="120" w:line="276" w:lineRule="auto"/>
      </w:pPr>
      <w:r>
        <w:rPr>
          <w:color w:val="1A1A1A"/>
        </w:rPr>
        <w:t xml:space="preserve">The Opening Ceremony </w:t>
      </w:r>
      <w:proofErr w:type="spellStart"/>
      <w:r>
        <w:rPr>
          <w:color w:val="1A1A1A"/>
        </w:rPr>
        <w:t>runsheet</w:t>
      </w:r>
      <w:proofErr w:type="spellEnd"/>
      <w:r>
        <w:rPr>
          <w:color w:val="1A1A1A"/>
        </w:rPr>
        <w:t xml:space="preserve"> is summarised in Table 8.1. Total ceremony duration is 145 minutes, within the </w:t>
      </w:r>
      <w:proofErr w:type="gramStart"/>
      <w:r>
        <w:rPr>
          <w:color w:val="1A1A1A"/>
        </w:rPr>
        <w:t>90-180 minute</w:t>
      </w:r>
      <w:proofErr w:type="gramEnd"/>
      <w:r>
        <w:rPr>
          <w:color w:val="1A1A1A"/>
        </w:rPr>
        <w:t xml:space="preserve"> envelope specified by the IOC. The full technical </w:t>
      </w:r>
      <w:proofErr w:type="spellStart"/>
      <w:r>
        <w:rPr>
          <w:color w:val="1A1A1A"/>
        </w:rPr>
        <w:t>runsheet</w:t>
      </w:r>
      <w:proofErr w:type="spellEnd"/>
      <w:r>
        <w:rPr>
          <w:color w:val="1A1A1A"/>
        </w:rPr>
        <w:t>, including timing tolerances, is provided in Annex C.</w:t>
      </w:r>
    </w:p>
    <w:p w14:paraId="1A7D2FB7" w14:textId="77777777" w:rsidR="00C53F1B"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94"/>
        <w:gridCol w:w="1071"/>
        <w:gridCol w:w="2766"/>
        <w:gridCol w:w="2146"/>
        <w:gridCol w:w="2249"/>
      </w:tblGrid>
      <w:tr w:rsidR="00C53F1B" w14:paraId="18B7C21D" w14:textId="77777777">
        <w:tblPrEx>
          <w:tblCellMar>
            <w:top w:w="0" w:type="dxa"/>
            <w:bottom w:w="0" w:type="dxa"/>
          </w:tblCellMar>
        </w:tblPrEx>
        <w:trPr>
          <w:tblHeader/>
        </w:trPr>
        <w:tc>
          <w:tcPr>
            <w:tcW w:w="8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4F9C337B" w14:textId="77777777" w:rsidR="00C53F1B" w:rsidRDefault="00000000">
            <w:r>
              <w:rPr>
                <w:b/>
                <w:bCs/>
                <w:color w:val="FFFFFF"/>
              </w:rPr>
              <w:lastRenderedPageBreak/>
              <w:t>Time</w:t>
            </w:r>
          </w:p>
        </w:tc>
        <w:tc>
          <w:tcPr>
            <w:tcW w:w="8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366FD1C5" w14:textId="77777777" w:rsidR="00C53F1B" w:rsidRDefault="00000000">
            <w:r>
              <w:rPr>
                <w:b/>
                <w:bCs/>
                <w:color w:val="FFFFFF"/>
              </w:rPr>
              <w:t>Duration</w:t>
            </w:r>
          </w:p>
        </w:tc>
        <w:tc>
          <w:tcPr>
            <w:tcW w:w="29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7ACF5578" w14:textId="77777777" w:rsidR="00C53F1B" w:rsidRDefault="00000000">
            <w:r>
              <w:rPr>
                <w:b/>
                <w:bCs/>
                <w:color w:val="FFFFFF"/>
              </w:rPr>
              <w:t>Segment</w:t>
            </w:r>
          </w:p>
        </w:tc>
        <w:tc>
          <w:tcPr>
            <w:tcW w:w="22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7F0ED3CD" w14:textId="77777777" w:rsidR="00C53F1B" w:rsidRDefault="00000000">
            <w:r>
              <w:rPr>
                <w:b/>
                <w:bCs/>
                <w:color w:val="FFFFFF"/>
              </w:rPr>
              <w:t>Lead personnel</w:t>
            </w:r>
          </w:p>
        </w:tc>
        <w:tc>
          <w:tcPr>
            <w:tcW w:w="2326"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76E05F5F" w14:textId="77777777" w:rsidR="00C53F1B" w:rsidRDefault="00000000">
            <w:r>
              <w:rPr>
                <w:b/>
                <w:bCs/>
                <w:color w:val="FFFFFF"/>
              </w:rPr>
              <w:t>Technical notes</w:t>
            </w:r>
          </w:p>
        </w:tc>
      </w:tr>
      <w:tr w:rsidR="00C53F1B" w14:paraId="7A9AB8F6"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5C9E9D16" w14:textId="77777777" w:rsidR="00C53F1B" w:rsidRDefault="00000000">
            <w:r>
              <w:rPr>
                <w:color w:val="1A1A1A"/>
                <w:sz w:val="20"/>
                <w:szCs w:val="20"/>
              </w:rPr>
              <w:t>19:30</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4BFD4AEE" w14:textId="77777777" w:rsidR="00C53F1B" w:rsidRDefault="00000000">
            <w:r>
              <w:rPr>
                <w:color w:val="1A1A1A"/>
                <w:sz w:val="20"/>
                <w:szCs w:val="20"/>
              </w:rPr>
              <w:t>10 min</w:t>
            </w:r>
          </w:p>
        </w:tc>
        <w:tc>
          <w:tcPr>
            <w:tcW w:w="2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4F30628E" w14:textId="77777777" w:rsidR="00C53F1B" w:rsidRDefault="00000000">
            <w:r>
              <w:rPr>
                <w:color w:val="1A1A1A"/>
                <w:sz w:val="20"/>
                <w:szCs w:val="20"/>
              </w:rPr>
              <w:t>Pre-show: stadium activation</w:t>
            </w:r>
          </w:p>
        </w:tc>
        <w:tc>
          <w:tcPr>
            <w:tcW w:w="2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E41B01D" w14:textId="77777777" w:rsidR="00C53F1B" w:rsidRDefault="00000000">
            <w:r>
              <w:rPr>
                <w:color w:val="1A1A1A"/>
                <w:sz w:val="20"/>
                <w:szCs w:val="20"/>
              </w:rPr>
              <w:t>Stadium Producer</w:t>
            </w:r>
          </w:p>
        </w:tc>
        <w:tc>
          <w:tcPr>
            <w:tcW w:w="2326"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90E09CD" w14:textId="77777777" w:rsidR="00C53F1B" w:rsidRDefault="00000000">
            <w:r>
              <w:rPr>
                <w:color w:val="1A1A1A"/>
                <w:sz w:val="20"/>
                <w:szCs w:val="20"/>
              </w:rPr>
              <w:t>Lighting, audio test</w:t>
            </w:r>
          </w:p>
        </w:tc>
      </w:tr>
      <w:tr w:rsidR="00C53F1B" w14:paraId="5F3FE7DF"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1CB6BE1D" w14:textId="77777777" w:rsidR="00C53F1B" w:rsidRDefault="00000000">
            <w:r>
              <w:rPr>
                <w:color w:val="1A1A1A"/>
                <w:sz w:val="20"/>
                <w:szCs w:val="20"/>
              </w:rPr>
              <w:t>19:40</w:t>
            </w:r>
          </w:p>
        </w:tc>
        <w:tc>
          <w:tcPr>
            <w:tcW w:w="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29A8250B" w14:textId="77777777" w:rsidR="00C53F1B" w:rsidRDefault="00000000">
            <w:r>
              <w:rPr>
                <w:color w:val="1A1A1A"/>
                <w:sz w:val="20"/>
                <w:szCs w:val="20"/>
              </w:rPr>
              <w:t>12 min</w:t>
            </w:r>
          </w:p>
        </w:tc>
        <w:tc>
          <w:tcPr>
            <w:tcW w:w="2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32A1EDEA" w14:textId="77777777" w:rsidR="00C53F1B" w:rsidRDefault="00000000">
            <w:r>
              <w:rPr>
                <w:color w:val="1A1A1A"/>
                <w:sz w:val="20"/>
                <w:szCs w:val="20"/>
              </w:rPr>
              <w:t>Whadjuk Welcome to Country</w:t>
            </w:r>
          </w:p>
        </w:tc>
        <w:tc>
          <w:tcPr>
            <w:tcW w:w="22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0930F876" w14:textId="77777777" w:rsidR="00C53F1B" w:rsidRDefault="00000000">
            <w:r>
              <w:rPr>
                <w:color w:val="1A1A1A"/>
                <w:sz w:val="20"/>
                <w:szCs w:val="20"/>
              </w:rPr>
              <w:t>Karda Noongar / Whadjuk Working Party</w:t>
            </w:r>
          </w:p>
        </w:tc>
        <w:tc>
          <w:tcPr>
            <w:tcW w:w="2326"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36B8812A" w14:textId="77777777" w:rsidR="00C53F1B" w:rsidRDefault="00000000">
            <w:r>
              <w:rPr>
                <w:color w:val="1A1A1A"/>
                <w:sz w:val="20"/>
                <w:szCs w:val="20"/>
              </w:rPr>
              <w:t>Smoke ceremony, fire-safety brief</w:t>
            </w:r>
          </w:p>
        </w:tc>
      </w:tr>
      <w:tr w:rsidR="00C53F1B" w14:paraId="3765D6A1"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1AF3805" w14:textId="77777777" w:rsidR="00C53F1B" w:rsidRDefault="00000000">
            <w:r>
              <w:rPr>
                <w:color w:val="1A1A1A"/>
                <w:sz w:val="20"/>
                <w:szCs w:val="20"/>
              </w:rPr>
              <w:t>19:52</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2A04E1C6" w14:textId="77777777" w:rsidR="00C53F1B" w:rsidRDefault="00000000">
            <w:r>
              <w:rPr>
                <w:color w:val="1A1A1A"/>
                <w:sz w:val="20"/>
                <w:szCs w:val="20"/>
              </w:rPr>
              <w:t>8 min</w:t>
            </w:r>
          </w:p>
        </w:tc>
        <w:tc>
          <w:tcPr>
            <w:tcW w:w="2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1856271F" w14:textId="77777777" w:rsidR="00C53F1B" w:rsidRDefault="00000000">
            <w:r>
              <w:rPr>
                <w:color w:val="1A1A1A"/>
                <w:sz w:val="20"/>
                <w:szCs w:val="20"/>
              </w:rPr>
              <w:t xml:space="preserve">Australian national segment 1: </w:t>
            </w:r>
            <w:proofErr w:type="spellStart"/>
            <w:r>
              <w:rPr>
                <w:color w:val="1A1A1A"/>
                <w:sz w:val="20"/>
                <w:szCs w:val="20"/>
              </w:rPr>
              <w:t>Wagyl</w:t>
            </w:r>
            <w:proofErr w:type="spellEnd"/>
          </w:p>
        </w:tc>
        <w:tc>
          <w:tcPr>
            <w:tcW w:w="2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C27A0F6" w14:textId="77777777" w:rsidR="00C53F1B" w:rsidRDefault="00000000">
            <w:r>
              <w:rPr>
                <w:color w:val="1A1A1A"/>
                <w:sz w:val="20"/>
                <w:szCs w:val="20"/>
              </w:rPr>
              <w:t>Choreographer (Karen Standke)</w:t>
            </w:r>
          </w:p>
        </w:tc>
        <w:tc>
          <w:tcPr>
            <w:tcW w:w="2326"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5756C8E5" w14:textId="77777777" w:rsidR="00C53F1B" w:rsidRDefault="00000000">
            <w:r>
              <w:rPr>
                <w:color w:val="1A1A1A"/>
                <w:sz w:val="20"/>
                <w:szCs w:val="20"/>
              </w:rPr>
              <w:t>Rainbow Serpent projection</w:t>
            </w:r>
          </w:p>
        </w:tc>
      </w:tr>
      <w:tr w:rsidR="00C53F1B" w14:paraId="67472B70"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58E7A55F" w14:textId="77777777" w:rsidR="00C53F1B" w:rsidRDefault="00000000">
            <w:r>
              <w:rPr>
                <w:color w:val="1A1A1A"/>
                <w:sz w:val="20"/>
                <w:szCs w:val="20"/>
              </w:rPr>
              <w:t>20:00</w:t>
            </w:r>
          </w:p>
        </w:tc>
        <w:tc>
          <w:tcPr>
            <w:tcW w:w="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49C000E8" w14:textId="77777777" w:rsidR="00C53F1B" w:rsidRDefault="00000000">
            <w:r>
              <w:rPr>
                <w:color w:val="1A1A1A"/>
                <w:sz w:val="20"/>
                <w:szCs w:val="20"/>
              </w:rPr>
              <w:t>5 min</w:t>
            </w:r>
          </w:p>
        </w:tc>
        <w:tc>
          <w:tcPr>
            <w:tcW w:w="2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65EFA47D" w14:textId="77777777" w:rsidR="00C53F1B" w:rsidRDefault="00000000">
            <w:r>
              <w:rPr>
                <w:color w:val="1A1A1A"/>
                <w:sz w:val="20"/>
                <w:szCs w:val="20"/>
              </w:rPr>
              <w:t>Olympic anthem and flag</w:t>
            </w:r>
          </w:p>
        </w:tc>
        <w:tc>
          <w:tcPr>
            <w:tcW w:w="22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358631F1" w14:textId="77777777" w:rsidR="00C53F1B" w:rsidRDefault="00000000">
            <w:r>
              <w:rPr>
                <w:color w:val="1A1A1A"/>
                <w:sz w:val="20"/>
                <w:szCs w:val="20"/>
              </w:rPr>
              <w:t>IOC Protocol</w:t>
            </w:r>
          </w:p>
        </w:tc>
        <w:tc>
          <w:tcPr>
            <w:tcW w:w="2326"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7836BEEB" w14:textId="77777777" w:rsidR="00C53F1B" w:rsidRDefault="00000000">
            <w:r>
              <w:rPr>
                <w:color w:val="1A1A1A"/>
                <w:sz w:val="20"/>
                <w:szCs w:val="20"/>
              </w:rPr>
              <w:t>Standard IOC sequence</w:t>
            </w:r>
          </w:p>
        </w:tc>
      </w:tr>
      <w:tr w:rsidR="00C53F1B" w14:paraId="33FCD8DF"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05A6172" w14:textId="77777777" w:rsidR="00C53F1B" w:rsidRDefault="00000000">
            <w:r>
              <w:rPr>
                <w:color w:val="1A1A1A"/>
                <w:sz w:val="20"/>
                <w:szCs w:val="20"/>
              </w:rPr>
              <w:t>20:05</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165932A0" w14:textId="77777777" w:rsidR="00C53F1B" w:rsidRDefault="00000000">
            <w:r>
              <w:rPr>
                <w:color w:val="1A1A1A"/>
                <w:sz w:val="20"/>
                <w:szCs w:val="20"/>
              </w:rPr>
              <w:t>10 min</w:t>
            </w:r>
          </w:p>
        </w:tc>
        <w:tc>
          <w:tcPr>
            <w:tcW w:w="2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76F7E04A" w14:textId="77777777" w:rsidR="00C53F1B" w:rsidRDefault="00000000">
            <w:r>
              <w:rPr>
                <w:color w:val="1A1A1A"/>
                <w:sz w:val="20"/>
                <w:szCs w:val="20"/>
              </w:rPr>
              <w:t>Quincy procession (mascot reveal)</w:t>
            </w:r>
          </w:p>
        </w:tc>
        <w:tc>
          <w:tcPr>
            <w:tcW w:w="2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1E64719E" w14:textId="77777777" w:rsidR="00C53F1B" w:rsidRDefault="00000000">
            <w:r>
              <w:rPr>
                <w:color w:val="1A1A1A"/>
                <w:sz w:val="20"/>
                <w:szCs w:val="20"/>
              </w:rPr>
              <w:t>Tourism WA / Mascot Producer</w:t>
            </w:r>
          </w:p>
        </w:tc>
        <w:tc>
          <w:tcPr>
            <w:tcW w:w="2326"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E678242" w14:textId="77777777" w:rsidR="00C53F1B" w:rsidRDefault="00000000">
            <w:r>
              <w:rPr>
                <w:color w:val="1A1A1A"/>
                <w:sz w:val="20"/>
                <w:szCs w:val="20"/>
              </w:rPr>
              <w:t>Live Quokka projection on screens; live mascot performer</w:t>
            </w:r>
          </w:p>
        </w:tc>
      </w:tr>
      <w:tr w:rsidR="00C53F1B" w14:paraId="724275C1"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0618B403" w14:textId="77777777" w:rsidR="00C53F1B" w:rsidRDefault="00000000">
            <w:r>
              <w:rPr>
                <w:color w:val="1A1A1A"/>
                <w:sz w:val="20"/>
                <w:szCs w:val="20"/>
              </w:rPr>
              <w:t>20:15</w:t>
            </w:r>
          </w:p>
        </w:tc>
        <w:tc>
          <w:tcPr>
            <w:tcW w:w="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7CBE9820" w14:textId="77777777" w:rsidR="00C53F1B" w:rsidRDefault="00000000">
            <w:r>
              <w:rPr>
                <w:color w:val="1A1A1A"/>
                <w:sz w:val="20"/>
                <w:szCs w:val="20"/>
              </w:rPr>
              <w:t>8 min</w:t>
            </w:r>
          </w:p>
        </w:tc>
        <w:tc>
          <w:tcPr>
            <w:tcW w:w="2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36DEF6F1" w14:textId="77777777" w:rsidR="00C53F1B" w:rsidRDefault="00000000">
            <w:r>
              <w:rPr>
                <w:color w:val="1A1A1A"/>
                <w:sz w:val="20"/>
                <w:szCs w:val="20"/>
              </w:rPr>
              <w:t>President of IOC speech</w:t>
            </w:r>
          </w:p>
        </w:tc>
        <w:tc>
          <w:tcPr>
            <w:tcW w:w="22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22B44402" w14:textId="77777777" w:rsidR="00C53F1B" w:rsidRDefault="00000000">
            <w:r>
              <w:rPr>
                <w:color w:val="1A1A1A"/>
                <w:sz w:val="20"/>
                <w:szCs w:val="20"/>
              </w:rPr>
              <w:t>IOC President</w:t>
            </w:r>
          </w:p>
        </w:tc>
        <w:tc>
          <w:tcPr>
            <w:tcW w:w="2326"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78A1CD00" w14:textId="77777777" w:rsidR="00C53F1B" w:rsidRDefault="00000000">
            <w:r>
              <w:rPr>
                <w:color w:val="1A1A1A"/>
                <w:sz w:val="20"/>
                <w:szCs w:val="20"/>
              </w:rPr>
              <w:t xml:space="preserve">Speech translated WA </w:t>
            </w:r>
            <w:proofErr w:type="spellStart"/>
            <w:r>
              <w:rPr>
                <w:color w:val="1A1A1A"/>
                <w:sz w:val="20"/>
                <w:szCs w:val="20"/>
              </w:rPr>
              <w:t>Auslan</w:t>
            </w:r>
            <w:proofErr w:type="spellEnd"/>
          </w:p>
        </w:tc>
      </w:tr>
      <w:tr w:rsidR="00C53F1B" w14:paraId="736801B2"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7AAC5795" w14:textId="77777777" w:rsidR="00C53F1B" w:rsidRDefault="00000000">
            <w:r>
              <w:rPr>
                <w:color w:val="1A1A1A"/>
                <w:sz w:val="20"/>
                <w:szCs w:val="20"/>
              </w:rPr>
              <w:t>20:23</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40A8F3AD" w14:textId="77777777" w:rsidR="00C53F1B" w:rsidRDefault="00000000">
            <w:r>
              <w:rPr>
                <w:color w:val="1A1A1A"/>
                <w:sz w:val="20"/>
                <w:szCs w:val="20"/>
              </w:rPr>
              <w:t>9 min</w:t>
            </w:r>
          </w:p>
        </w:tc>
        <w:tc>
          <w:tcPr>
            <w:tcW w:w="2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2C991A20" w14:textId="77777777" w:rsidR="00C53F1B" w:rsidRDefault="00000000">
            <w:r>
              <w:rPr>
                <w:color w:val="1A1A1A"/>
                <w:sz w:val="20"/>
                <w:szCs w:val="20"/>
              </w:rPr>
              <w:t>Premier of WA / Prime Minister speech</w:t>
            </w:r>
          </w:p>
        </w:tc>
        <w:tc>
          <w:tcPr>
            <w:tcW w:w="2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88C1525" w14:textId="77777777" w:rsidR="00C53F1B" w:rsidRDefault="00000000">
            <w:r>
              <w:rPr>
                <w:color w:val="1A1A1A"/>
                <w:sz w:val="20"/>
                <w:szCs w:val="20"/>
              </w:rPr>
              <w:t>Government House Protocol</w:t>
            </w:r>
          </w:p>
        </w:tc>
        <w:tc>
          <w:tcPr>
            <w:tcW w:w="2326"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113E5EA" w14:textId="77777777" w:rsidR="00C53F1B" w:rsidRDefault="00000000">
            <w:r>
              <w:rPr>
                <w:color w:val="1A1A1A"/>
                <w:sz w:val="20"/>
                <w:szCs w:val="20"/>
              </w:rPr>
              <w:t xml:space="preserve">Speech translated WA </w:t>
            </w:r>
            <w:proofErr w:type="spellStart"/>
            <w:r>
              <w:rPr>
                <w:color w:val="1A1A1A"/>
                <w:sz w:val="20"/>
                <w:szCs w:val="20"/>
              </w:rPr>
              <w:t>Auslan</w:t>
            </w:r>
            <w:proofErr w:type="spellEnd"/>
          </w:p>
        </w:tc>
      </w:tr>
      <w:tr w:rsidR="00C53F1B" w14:paraId="15063AD2"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7815F2A3" w14:textId="77777777" w:rsidR="00C53F1B" w:rsidRDefault="00000000">
            <w:r>
              <w:rPr>
                <w:color w:val="1A1A1A"/>
                <w:sz w:val="20"/>
                <w:szCs w:val="20"/>
              </w:rPr>
              <w:t>20:32</w:t>
            </w:r>
          </w:p>
        </w:tc>
        <w:tc>
          <w:tcPr>
            <w:tcW w:w="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7D0A4F06" w14:textId="77777777" w:rsidR="00C53F1B" w:rsidRDefault="00000000">
            <w:r>
              <w:rPr>
                <w:color w:val="1A1A1A"/>
                <w:sz w:val="20"/>
                <w:szCs w:val="20"/>
              </w:rPr>
              <w:t>60 min</w:t>
            </w:r>
          </w:p>
        </w:tc>
        <w:tc>
          <w:tcPr>
            <w:tcW w:w="2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0F86841B" w14:textId="77777777" w:rsidR="00C53F1B" w:rsidRDefault="00000000">
            <w:r>
              <w:rPr>
                <w:color w:val="1A1A1A"/>
                <w:sz w:val="20"/>
                <w:szCs w:val="20"/>
              </w:rPr>
              <w:t>Athletes' parade</w:t>
            </w:r>
          </w:p>
        </w:tc>
        <w:tc>
          <w:tcPr>
            <w:tcW w:w="22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3686BB14" w14:textId="77777777" w:rsidR="00C53F1B" w:rsidRDefault="00000000">
            <w:r>
              <w:rPr>
                <w:color w:val="1A1A1A"/>
                <w:sz w:val="20"/>
                <w:szCs w:val="20"/>
              </w:rPr>
              <w:t>Athletes' Parade Director</w:t>
            </w:r>
          </w:p>
        </w:tc>
        <w:tc>
          <w:tcPr>
            <w:tcW w:w="2326"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69C3BBBD" w14:textId="77777777" w:rsidR="00C53F1B" w:rsidRDefault="00000000">
            <w:r>
              <w:rPr>
                <w:color w:val="1A1A1A"/>
                <w:sz w:val="20"/>
                <w:szCs w:val="20"/>
              </w:rPr>
              <w:t>204 NOCs, alphabetic order</w:t>
            </w:r>
          </w:p>
        </w:tc>
      </w:tr>
      <w:tr w:rsidR="00C53F1B" w14:paraId="4DB24C17"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2B0B591D" w14:textId="77777777" w:rsidR="00C53F1B" w:rsidRDefault="00000000">
            <w:r>
              <w:rPr>
                <w:color w:val="1A1A1A"/>
                <w:sz w:val="20"/>
                <w:szCs w:val="20"/>
              </w:rPr>
              <w:t>21:32</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6D668AAB" w14:textId="77777777" w:rsidR="00C53F1B" w:rsidRDefault="00000000">
            <w:r>
              <w:rPr>
                <w:color w:val="1A1A1A"/>
                <w:sz w:val="20"/>
                <w:szCs w:val="20"/>
              </w:rPr>
              <w:t>8 min</w:t>
            </w:r>
          </w:p>
        </w:tc>
        <w:tc>
          <w:tcPr>
            <w:tcW w:w="2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11E2B9DC" w14:textId="77777777" w:rsidR="00C53F1B" w:rsidRDefault="00000000">
            <w:r>
              <w:rPr>
                <w:color w:val="1A1A1A"/>
                <w:sz w:val="20"/>
                <w:szCs w:val="20"/>
              </w:rPr>
              <w:t>Australian national segment 2: Black Swan</w:t>
            </w:r>
          </w:p>
        </w:tc>
        <w:tc>
          <w:tcPr>
            <w:tcW w:w="2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4200EA97" w14:textId="77777777" w:rsidR="00C53F1B" w:rsidRDefault="00000000">
            <w:r>
              <w:rPr>
                <w:color w:val="1A1A1A"/>
                <w:sz w:val="20"/>
                <w:szCs w:val="20"/>
              </w:rPr>
              <w:t>Choreographer (Garry Stewart)</w:t>
            </w:r>
          </w:p>
        </w:tc>
        <w:tc>
          <w:tcPr>
            <w:tcW w:w="2326"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8346924" w14:textId="77777777" w:rsidR="00C53F1B" w:rsidRDefault="00000000">
            <w:r>
              <w:rPr>
                <w:color w:val="1A1A1A"/>
                <w:sz w:val="20"/>
                <w:szCs w:val="20"/>
              </w:rPr>
              <w:t>Aerial silks performance</w:t>
            </w:r>
          </w:p>
        </w:tc>
      </w:tr>
      <w:tr w:rsidR="00C53F1B" w14:paraId="7CC0E8F2"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4C1DE92B" w14:textId="77777777" w:rsidR="00C53F1B" w:rsidRDefault="00000000">
            <w:r>
              <w:rPr>
                <w:color w:val="1A1A1A"/>
                <w:sz w:val="20"/>
                <w:szCs w:val="20"/>
              </w:rPr>
              <w:t>21:40</w:t>
            </w:r>
          </w:p>
        </w:tc>
        <w:tc>
          <w:tcPr>
            <w:tcW w:w="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3286F628" w14:textId="77777777" w:rsidR="00C53F1B" w:rsidRDefault="00000000">
            <w:r>
              <w:rPr>
                <w:color w:val="1A1A1A"/>
                <w:sz w:val="20"/>
                <w:szCs w:val="20"/>
              </w:rPr>
              <w:t>5 min</w:t>
            </w:r>
          </w:p>
        </w:tc>
        <w:tc>
          <w:tcPr>
            <w:tcW w:w="2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7E9E26B5" w14:textId="77777777" w:rsidR="00C53F1B" w:rsidRDefault="00000000">
            <w:r>
              <w:rPr>
                <w:color w:val="1A1A1A"/>
                <w:sz w:val="20"/>
                <w:szCs w:val="20"/>
              </w:rPr>
              <w:t>Olympic Oath (athlete, judge, coach)</w:t>
            </w:r>
          </w:p>
        </w:tc>
        <w:tc>
          <w:tcPr>
            <w:tcW w:w="22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143FE737" w14:textId="77777777" w:rsidR="00C53F1B" w:rsidRDefault="00000000">
            <w:r>
              <w:rPr>
                <w:color w:val="1A1A1A"/>
                <w:sz w:val="20"/>
                <w:szCs w:val="20"/>
              </w:rPr>
              <w:t>IOC Protocol</w:t>
            </w:r>
          </w:p>
        </w:tc>
        <w:tc>
          <w:tcPr>
            <w:tcW w:w="2326"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7295ED63" w14:textId="77777777" w:rsidR="00C53F1B" w:rsidRDefault="00000000">
            <w:r>
              <w:rPr>
                <w:color w:val="1A1A1A"/>
                <w:sz w:val="20"/>
                <w:szCs w:val="20"/>
              </w:rPr>
              <w:t>Standard IOC sequence</w:t>
            </w:r>
          </w:p>
        </w:tc>
      </w:tr>
      <w:tr w:rsidR="00C53F1B" w14:paraId="413ADDFE"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FB58108" w14:textId="77777777" w:rsidR="00C53F1B" w:rsidRDefault="00000000">
            <w:r>
              <w:rPr>
                <w:color w:val="1A1A1A"/>
                <w:sz w:val="20"/>
                <w:szCs w:val="20"/>
              </w:rPr>
              <w:t>21:45</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4123BFC9" w14:textId="77777777" w:rsidR="00C53F1B" w:rsidRDefault="00000000">
            <w:r>
              <w:rPr>
                <w:color w:val="1A1A1A"/>
                <w:sz w:val="20"/>
                <w:szCs w:val="20"/>
              </w:rPr>
              <w:t>8 min</w:t>
            </w:r>
          </w:p>
        </w:tc>
        <w:tc>
          <w:tcPr>
            <w:tcW w:w="2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13815E7C" w14:textId="77777777" w:rsidR="00C53F1B" w:rsidRDefault="00000000">
            <w:r>
              <w:rPr>
                <w:color w:val="1A1A1A"/>
                <w:sz w:val="20"/>
                <w:szCs w:val="20"/>
              </w:rPr>
              <w:t>Olympic flame relay (final 800m)</w:t>
            </w:r>
          </w:p>
        </w:tc>
        <w:tc>
          <w:tcPr>
            <w:tcW w:w="2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65127411" w14:textId="77777777" w:rsidR="00C53F1B" w:rsidRDefault="00000000">
            <w:r>
              <w:rPr>
                <w:color w:val="1A1A1A"/>
                <w:sz w:val="20"/>
                <w:szCs w:val="20"/>
              </w:rPr>
              <w:t>Torch Relay Director</w:t>
            </w:r>
          </w:p>
        </w:tc>
        <w:tc>
          <w:tcPr>
            <w:tcW w:w="2326"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FFB92C9" w14:textId="77777777" w:rsidR="00C53F1B" w:rsidRDefault="00000000">
            <w:r>
              <w:rPr>
                <w:color w:val="1A1A1A"/>
                <w:sz w:val="20"/>
                <w:szCs w:val="20"/>
              </w:rPr>
              <w:t>Final torchbearer confidential</w:t>
            </w:r>
          </w:p>
        </w:tc>
      </w:tr>
      <w:tr w:rsidR="00C53F1B" w14:paraId="3D53C3BD" w14:textId="77777777">
        <w:tblPrEx>
          <w:tblCellMar>
            <w:top w:w="0" w:type="dxa"/>
            <w:bottom w:w="0" w:type="dxa"/>
          </w:tblCellMar>
        </w:tblPrEx>
        <w:tc>
          <w:tcPr>
            <w:tcW w:w="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0A63433A" w14:textId="77777777" w:rsidR="00C53F1B" w:rsidRDefault="00000000">
            <w:r>
              <w:rPr>
                <w:color w:val="1A1A1A"/>
                <w:sz w:val="20"/>
                <w:szCs w:val="20"/>
              </w:rPr>
              <w:t>21:53</w:t>
            </w:r>
          </w:p>
        </w:tc>
        <w:tc>
          <w:tcPr>
            <w:tcW w:w="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1D16B568" w14:textId="77777777" w:rsidR="00C53F1B" w:rsidRDefault="00000000">
            <w:r>
              <w:rPr>
                <w:color w:val="1A1A1A"/>
                <w:sz w:val="20"/>
                <w:szCs w:val="20"/>
              </w:rPr>
              <w:t>12 min</w:t>
            </w:r>
          </w:p>
        </w:tc>
        <w:tc>
          <w:tcPr>
            <w:tcW w:w="2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0B3A0624" w14:textId="77777777" w:rsidR="00C53F1B" w:rsidRDefault="00000000">
            <w:r>
              <w:rPr>
                <w:color w:val="1A1A1A"/>
                <w:sz w:val="20"/>
                <w:szCs w:val="20"/>
              </w:rPr>
              <w:t>Cauldron lighting and ceremony close</w:t>
            </w:r>
          </w:p>
        </w:tc>
        <w:tc>
          <w:tcPr>
            <w:tcW w:w="22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4C0A3EC3" w14:textId="77777777" w:rsidR="00C53F1B" w:rsidRDefault="00000000">
            <w:r>
              <w:rPr>
                <w:color w:val="1A1A1A"/>
                <w:sz w:val="20"/>
                <w:szCs w:val="20"/>
              </w:rPr>
              <w:t>Stadium Producer</w:t>
            </w:r>
          </w:p>
        </w:tc>
        <w:tc>
          <w:tcPr>
            <w:tcW w:w="2326"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401694B5" w14:textId="77777777" w:rsidR="00C53F1B" w:rsidRDefault="00000000">
            <w:r>
              <w:rPr>
                <w:color w:val="1A1A1A"/>
                <w:sz w:val="20"/>
                <w:szCs w:val="20"/>
              </w:rPr>
              <w:t>Pyrotechnics under WA Pyrotechnics Permit 2032-A</w:t>
            </w:r>
          </w:p>
        </w:tc>
      </w:tr>
    </w:tbl>
    <w:p w14:paraId="5188F749" w14:textId="77777777" w:rsidR="00C53F1B" w:rsidRDefault="00000000">
      <w:pPr>
        <w:spacing w:before="60" w:after="200"/>
      </w:pPr>
      <w:r>
        <w:rPr>
          <w:color w:val="595959"/>
          <w:sz w:val="20"/>
          <w:szCs w:val="20"/>
        </w:rPr>
        <w:t xml:space="preserve">Table 8.1: Opening Ceremony </w:t>
      </w:r>
      <w:proofErr w:type="spellStart"/>
      <w:r>
        <w:rPr>
          <w:color w:val="595959"/>
          <w:sz w:val="20"/>
          <w:szCs w:val="20"/>
        </w:rPr>
        <w:t>runsheet</w:t>
      </w:r>
      <w:proofErr w:type="spellEnd"/>
      <w:r>
        <w:rPr>
          <w:color w:val="595959"/>
          <w:sz w:val="20"/>
          <w:szCs w:val="20"/>
        </w:rPr>
        <w:t xml:space="preserve"> (summary). Source: Perth 2032 Cultural Programme Working Group, October 2018.</w:t>
      </w:r>
    </w:p>
    <w:p w14:paraId="0E838C41" w14:textId="77777777" w:rsidR="00C53F1B" w:rsidRDefault="00000000">
      <w:r>
        <w:br w:type="page"/>
      </w:r>
    </w:p>
    <w:p w14:paraId="67A86032" w14:textId="77777777" w:rsidR="00C53F1B" w:rsidRDefault="00000000">
      <w:pPr>
        <w:pStyle w:val="Heading1"/>
      </w:pPr>
      <w:bookmarkStart w:id="38" w:name="_Toc228881702"/>
      <w:r>
        <w:lastRenderedPageBreak/>
        <w:t>9. Financial Plan</w:t>
      </w:r>
      <w:bookmarkEnd w:id="38"/>
    </w:p>
    <w:p w14:paraId="417F3C0D" w14:textId="77777777" w:rsidR="00C53F1B" w:rsidRDefault="00000000">
      <w:pPr>
        <w:spacing w:before="120" w:after="120" w:line="276" w:lineRule="auto"/>
      </w:pPr>
      <w:r>
        <w:rPr>
          <w:color w:val="1A1A1A"/>
        </w:rPr>
        <w:t>The total Perth 2032 bid budget is A$8.9 billion, presented in 2018 Australian dollars. All forecasts are independently audited by KPMG and verified against comparable host-city budgets for Sydney 2000, Athens 2004, and London 2012, adjusted for present value.</w:t>
      </w:r>
    </w:p>
    <w:p w14:paraId="492F890D" w14:textId="77777777" w:rsidR="00C53F1B" w:rsidRDefault="00000000">
      <w:pPr>
        <w:pStyle w:val="Heading2"/>
      </w:pPr>
      <w:bookmarkStart w:id="39" w:name="_Toc228881703"/>
      <w:r>
        <w:t>9.1 Cost summary</w:t>
      </w:r>
      <w:bookmarkEnd w:id="39"/>
    </w:p>
    <w:p w14:paraId="3FA998C1" w14:textId="77777777" w:rsidR="00C53F1B" w:rsidRDefault="00000000">
      <w:pPr>
        <w:spacing w:before="120" w:after="120" w:line="276" w:lineRule="auto"/>
      </w:pPr>
      <w:r>
        <w:rPr>
          <w:color w:val="1A1A1A"/>
        </w:rPr>
        <w:t>Table 9.1 presents the bid cost summary, organised by category. Federal share, WA share, and assumptions are disclosed for each line.</w:t>
      </w:r>
    </w:p>
    <w:p w14:paraId="68560691" w14:textId="77777777" w:rsidR="00C53F1B" w:rsidRDefault="00C53F1B">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99"/>
        <w:gridCol w:w="1747"/>
        <w:gridCol w:w="1278"/>
        <w:gridCol w:w="1266"/>
        <w:gridCol w:w="1836"/>
      </w:tblGrid>
      <w:tr w:rsidR="00C53F1B" w14:paraId="64A566E9" w14:textId="77777777">
        <w:tblPrEx>
          <w:tblCellMar>
            <w:top w:w="0" w:type="dxa"/>
            <w:bottom w:w="0" w:type="dxa"/>
          </w:tblCellMar>
        </w:tblPrEx>
        <w:trPr>
          <w:tblHeader/>
        </w:trPr>
        <w:tc>
          <w:tcPr>
            <w:tcW w:w="30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4746DC71" w14:textId="77777777" w:rsidR="00C53F1B" w:rsidRDefault="00000000">
            <w:r>
              <w:rPr>
                <w:b/>
                <w:bCs/>
                <w:color w:val="FFFFFF"/>
              </w:rPr>
              <w:t>Category</w:t>
            </w:r>
          </w:p>
        </w:tc>
        <w:tc>
          <w:tcPr>
            <w:tcW w:w="18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0483A6E2" w14:textId="77777777" w:rsidR="00C53F1B" w:rsidRDefault="00000000">
            <w:r>
              <w:rPr>
                <w:b/>
                <w:bCs/>
                <w:color w:val="FFFFFF"/>
              </w:rPr>
              <w:t>Cost (A$ million)</w:t>
            </w:r>
          </w:p>
        </w:tc>
        <w:tc>
          <w:tcPr>
            <w:tcW w:w="13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49A5D8AF" w14:textId="77777777" w:rsidR="00C53F1B" w:rsidRDefault="00000000">
            <w:r>
              <w:rPr>
                <w:b/>
                <w:bCs/>
                <w:color w:val="FFFFFF"/>
              </w:rPr>
              <w:t>Federal share</w:t>
            </w:r>
          </w:p>
        </w:tc>
        <w:tc>
          <w:tcPr>
            <w:tcW w:w="13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7A768E55" w14:textId="77777777" w:rsidR="00C53F1B" w:rsidRDefault="00000000">
            <w:r>
              <w:rPr>
                <w:b/>
                <w:bCs/>
                <w:color w:val="FFFFFF"/>
              </w:rPr>
              <w:t>WA share</w:t>
            </w:r>
          </w:p>
        </w:tc>
        <w:tc>
          <w:tcPr>
            <w:tcW w:w="1626"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313F4E23" w14:textId="77777777" w:rsidR="00C53F1B" w:rsidRDefault="00000000">
            <w:r>
              <w:rPr>
                <w:b/>
                <w:bCs/>
                <w:color w:val="FFFFFF"/>
              </w:rPr>
              <w:t>Notes</w:t>
            </w:r>
          </w:p>
        </w:tc>
      </w:tr>
      <w:tr w:rsidR="00C53F1B" w14:paraId="774FBB5C"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869DC73" w14:textId="77777777" w:rsidR="00C53F1B" w:rsidRDefault="00000000">
            <w:r>
              <w:rPr>
                <w:color w:val="1A1A1A"/>
                <w:sz w:val="20"/>
                <w:szCs w:val="20"/>
              </w:rPr>
              <w:t>Venue construction (new build)</w:t>
            </w:r>
          </w:p>
        </w:tc>
        <w:tc>
          <w:tcPr>
            <w:tcW w:w="1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503AFF85" w14:textId="77777777" w:rsidR="00C53F1B" w:rsidRDefault="00000000">
            <w:r>
              <w:rPr>
                <w:color w:val="1A1A1A"/>
                <w:sz w:val="20"/>
                <w:szCs w:val="20"/>
              </w:rPr>
              <w:t>1,820</w:t>
            </w:r>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2695FB2" w14:textId="77777777" w:rsidR="00C53F1B" w:rsidRDefault="00000000">
            <w:r>
              <w:rPr>
                <w:color w:val="1A1A1A"/>
                <w:sz w:val="20"/>
                <w:szCs w:val="20"/>
              </w:rPr>
              <w:t>44%</w:t>
            </w:r>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1F88E2FE" w14:textId="77777777" w:rsidR="00C53F1B" w:rsidRDefault="00000000">
            <w:r>
              <w:rPr>
                <w:color w:val="1A1A1A"/>
                <w:sz w:val="20"/>
                <w:szCs w:val="20"/>
              </w:rPr>
              <w:t>56%</w:t>
            </w:r>
          </w:p>
        </w:tc>
        <w:tc>
          <w:tcPr>
            <w:tcW w:w="1626"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6178EE02" w14:textId="77777777" w:rsidR="00C53F1B" w:rsidRDefault="00000000">
            <w:r>
              <w:rPr>
                <w:color w:val="1A1A1A"/>
                <w:sz w:val="20"/>
                <w:szCs w:val="20"/>
              </w:rPr>
              <w:t>11 venues; 6-Star Green Star required</w:t>
            </w:r>
          </w:p>
        </w:tc>
      </w:tr>
      <w:tr w:rsidR="00C53F1B" w14:paraId="061586EB"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48D3A332" w14:textId="77777777" w:rsidR="00C53F1B" w:rsidRDefault="00000000">
            <w:r>
              <w:rPr>
                <w:color w:val="1A1A1A"/>
                <w:sz w:val="20"/>
                <w:szCs w:val="20"/>
              </w:rPr>
              <w:t>Venue overlay (existing)</w:t>
            </w:r>
          </w:p>
        </w:tc>
        <w:tc>
          <w:tcPr>
            <w:tcW w:w="1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7A2888DB" w14:textId="77777777" w:rsidR="00C53F1B" w:rsidRDefault="00000000">
            <w:r>
              <w:rPr>
                <w:color w:val="1A1A1A"/>
                <w:sz w:val="20"/>
                <w:szCs w:val="20"/>
              </w:rPr>
              <w:t>640</w:t>
            </w:r>
          </w:p>
        </w:tc>
        <w:tc>
          <w:tcPr>
            <w:tcW w:w="13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001735A5" w14:textId="77777777" w:rsidR="00C53F1B" w:rsidRDefault="00000000">
            <w:r>
              <w:rPr>
                <w:color w:val="1A1A1A"/>
                <w:sz w:val="20"/>
                <w:szCs w:val="20"/>
              </w:rPr>
              <w:t>30%</w:t>
            </w:r>
          </w:p>
        </w:tc>
        <w:tc>
          <w:tcPr>
            <w:tcW w:w="13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1571A6A1" w14:textId="77777777" w:rsidR="00C53F1B" w:rsidRDefault="00000000">
            <w:r>
              <w:rPr>
                <w:color w:val="1A1A1A"/>
                <w:sz w:val="20"/>
                <w:szCs w:val="20"/>
              </w:rPr>
              <w:t>70%</w:t>
            </w:r>
          </w:p>
        </w:tc>
        <w:tc>
          <w:tcPr>
            <w:tcW w:w="1626"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44121DFF" w14:textId="77777777" w:rsidR="00C53F1B" w:rsidRDefault="00000000">
            <w:r>
              <w:rPr>
                <w:color w:val="1A1A1A"/>
                <w:sz w:val="20"/>
                <w:szCs w:val="20"/>
              </w:rPr>
              <w:t>43 venues; capital uplift only</w:t>
            </w:r>
          </w:p>
        </w:tc>
      </w:tr>
      <w:tr w:rsidR="00C53F1B" w14:paraId="14069A9A"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2E58705" w14:textId="77777777" w:rsidR="00C53F1B" w:rsidRDefault="00000000">
            <w:r>
              <w:rPr>
                <w:color w:val="1A1A1A"/>
                <w:sz w:val="20"/>
                <w:szCs w:val="20"/>
              </w:rPr>
              <w:t>Athletes' Village</w:t>
            </w:r>
          </w:p>
        </w:tc>
        <w:tc>
          <w:tcPr>
            <w:tcW w:w="1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A796D49" w14:textId="77777777" w:rsidR="00C53F1B" w:rsidRDefault="00000000">
            <w:r>
              <w:rPr>
                <w:color w:val="1A1A1A"/>
                <w:sz w:val="20"/>
                <w:szCs w:val="20"/>
              </w:rPr>
              <w:t>1,950</w:t>
            </w:r>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5F625247" w14:textId="77777777" w:rsidR="00C53F1B" w:rsidRDefault="00000000">
            <w:r>
              <w:rPr>
                <w:color w:val="1A1A1A"/>
                <w:sz w:val="20"/>
                <w:szCs w:val="20"/>
              </w:rPr>
              <w:t>40%</w:t>
            </w:r>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59FB4695" w14:textId="77777777" w:rsidR="00C53F1B" w:rsidRDefault="00000000">
            <w:r>
              <w:rPr>
                <w:color w:val="1A1A1A"/>
                <w:sz w:val="20"/>
                <w:szCs w:val="20"/>
              </w:rPr>
              <w:t>60%</w:t>
            </w:r>
          </w:p>
        </w:tc>
        <w:tc>
          <w:tcPr>
            <w:tcW w:w="1626"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17CFA556" w14:textId="77777777" w:rsidR="00C53F1B" w:rsidRDefault="00000000">
            <w:r>
              <w:rPr>
                <w:color w:val="1A1A1A"/>
                <w:sz w:val="20"/>
                <w:szCs w:val="20"/>
              </w:rPr>
              <w:t>20 buildings, 17,000 beds</w:t>
            </w:r>
          </w:p>
        </w:tc>
      </w:tr>
      <w:tr w:rsidR="00C53F1B" w14:paraId="39C0F023"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5C65CEED" w14:textId="77777777" w:rsidR="00C53F1B" w:rsidRDefault="00000000">
            <w:r>
              <w:rPr>
                <w:color w:val="1A1A1A"/>
                <w:sz w:val="20"/>
                <w:szCs w:val="20"/>
              </w:rPr>
              <w:t>Transport infrastructure</w:t>
            </w:r>
          </w:p>
        </w:tc>
        <w:tc>
          <w:tcPr>
            <w:tcW w:w="1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48C030CA" w14:textId="77777777" w:rsidR="00C53F1B" w:rsidRDefault="00000000">
            <w:r>
              <w:rPr>
                <w:color w:val="1A1A1A"/>
                <w:sz w:val="20"/>
                <w:szCs w:val="20"/>
              </w:rPr>
              <w:t>1,400</w:t>
            </w:r>
          </w:p>
        </w:tc>
        <w:tc>
          <w:tcPr>
            <w:tcW w:w="13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101C954B" w14:textId="77777777" w:rsidR="00C53F1B" w:rsidRDefault="00000000">
            <w:r>
              <w:rPr>
                <w:color w:val="1A1A1A"/>
                <w:sz w:val="20"/>
                <w:szCs w:val="20"/>
              </w:rPr>
              <w:t>55%</w:t>
            </w:r>
          </w:p>
        </w:tc>
        <w:tc>
          <w:tcPr>
            <w:tcW w:w="13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339824E8" w14:textId="77777777" w:rsidR="00C53F1B" w:rsidRDefault="00000000">
            <w:r>
              <w:rPr>
                <w:color w:val="1A1A1A"/>
                <w:sz w:val="20"/>
                <w:szCs w:val="20"/>
              </w:rPr>
              <w:t>45%</w:t>
            </w:r>
          </w:p>
        </w:tc>
        <w:tc>
          <w:tcPr>
            <w:tcW w:w="1626"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6ECC96C5" w14:textId="77777777" w:rsidR="00C53F1B" w:rsidRDefault="00000000">
            <w:r>
              <w:rPr>
                <w:color w:val="1A1A1A"/>
                <w:sz w:val="20"/>
                <w:szCs w:val="20"/>
              </w:rPr>
              <w:t>Existing capital plan acceleration</w:t>
            </w:r>
          </w:p>
        </w:tc>
      </w:tr>
      <w:tr w:rsidR="00C53F1B" w14:paraId="53857AF6"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9C95032" w14:textId="77777777" w:rsidR="00C53F1B" w:rsidRDefault="00000000">
            <w:r>
              <w:rPr>
                <w:color w:val="1A1A1A"/>
                <w:sz w:val="20"/>
                <w:szCs w:val="20"/>
              </w:rPr>
              <w:t>Olympic operations</w:t>
            </w:r>
          </w:p>
        </w:tc>
        <w:tc>
          <w:tcPr>
            <w:tcW w:w="1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7B167410" w14:textId="77777777" w:rsidR="00C53F1B" w:rsidRDefault="00000000">
            <w:r>
              <w:rPr>
                <w:color w:val="1A1A1A"/>
                <w:sz w:val="20"/>
                <w:szCs w:val="20"/>
              </w:rPr>
              <w:t>1,200</w:t>
            </w:r>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276F8B37" w14:textId="77777777" w:rsidR="00C53F1B" w:rsidRDefault="00000000">
            <w:r>
              <w:rPr>
                <w:color w:val="1A1A1A"/>
                <w:sz w:val="20"/>
                <w:szCs w:val="20"/>
              </w:rPr>
              <w:t>30%</w:t>
            </w:r>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7D3C8B21" w14:textId="77777777" w:rsidR="00C53F1B" w:rsidRDefault="00000000">
            <w:r>
              <w:rPr>
                <w:color w:val="1A1A1A"/>
                <w:sz w:val="20"/>
                <w:szCs w:val="20"/>
              </w:rPr>
              <w:t>70%</w:t>
            </w:r>
          </w:p>
        </w:tc>
        <w:tc>
          <w:tcPr>
            <w:tcW w:w="1626"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16B25C23" w14:textId="77777777" w:rsidR="00C53F1B" w:rsidRDefault="00000000">
            <w:r>
              <w:rPr>
                <w:color w:val="1A1A1A"/>
                <w:sz w:val="20"/>
                <w:szCs w:val="20"/>
              </w:rPr>
              <w:t>Includes IOC operational contribution</w:t>
            </w:r>
          </w:p>
        </w:tc>
      </w:tr>
      <w:tr w:rsidR="00C53F1B" w14:paraId="4AF64658"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42CB1DD0" w14:textId="77777777" w:rsidR="00C53F1B" w:rsidRDefault="00000000">
            <w:r>
              <w:rPr>
                <w:color w:val="1A1A1A"/>
                <w:sz w:val="20"/>
                <w:szCs w:val="20"/>
              </w:rPr>
              <w:t>Cultural programme and ceremonies</w:t>
            </w:r>
          </w:p>
        </w:tc>
        <w:tc>
          <w:tcPr>
            <w:tcW w:w="1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0543845D" w14:textId="77777777" w:rsidR="00C53F1B" w:rsidRDefault="00000000">
            <w:r>
              <w:rPr>
                <w:color w:val="1A1A1A"/>
                <w:sz w:val="20"/>
                <w:szCs w:val="20"/>
              </w:rPr>
              <w:t>320</w:t>
            </w:r>
          </w:p>
        </w:tc>
        <w:tc>
          <w:tcPr>
            <w:tcW w:w="13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0A39A86C" w14:textId="77777777" w:rsidR="00C53F1B" w:rsidRDefault="00000000">
            <w:r>
              <w:rPr>
                <w:color w:val="1A1A1A"/>
                <w:sz w:val="20"/>
                <w:szCs w:val="20"/>
              </w:rPr>
              <w:t>20%</w:t>
            </w:r>
          </w:p>
        </w:tc>
        <w:tc>
          <w:tcPr>
            <w:tcW w:w="13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60FEF965" w14:textId="77777777" w:rsidR="00C53F1B" w:rsidRDefault="00000000">
            <w:r>
              <w:rPr>
                <w:color w:val="1A1A1A"/>
                <w:sz w:val="20"/>
                <w:szCs w:val="20"/>
              </w:rPr>
              <w:t>80%</w:t>
            </w:r>
          </w:p>
        </w:tc>
        <w:tc>
          <w:tcPr>
            <w:tcW w:w="1626"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30B28071" w14:textId="77777777" w:rsidR="00C53F1B" w:rsidRDefault="00000000">
            <w:r>
              <w:rPr>
                <w:color w:val="1A1A1A"/>
                <w:sz w:val="20"/>
                <w:szCs w:val="20"/>
              </w:rPr>
              <w:t>Includes Whadjuk sequence</w:t>
            </w:r>
          </w:p>
        </w:tc>
      </w:tr>
      <w:tr w:rsidR="00C53F1B" w14:paraId="4ECBE142"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64F568E5" w14:textId="77777777" w:rsidR="00C53F1B" w:rsidRDefault="00000000">
            <w:r>
              <w:rPr>
                <w:color w:val="1A1A1A"/>
                <w:sz w:val="20"/>
                <w:szCs w:val="20"/>
              </w:rPr>
              <w:t>Mascot programme (Quincy)</w:t>
            </w:r>
          </w:p>
        </w:tc>
        <w:tc>
          <w:tcPr>
            <w:tcW w:w="1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5C60B9C" w14:textId="77777777" w:rsidR="00C53F1B" w:rsidRDefault="00000000">
            <w:r>
              <w:rPr>
                <w:color w:val="1A1A1A"/>
                <w:sz w:val="20"/>
                <w:szCs w:val="20"/>
              </w:rPr>
              <w:t>85</w:t>
            </w:r>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9B8212A" w14:textId="77777777" w:rsidR="00C53F1B" w:rsidRDefault="00000000">
            <w:r>
              <w:rPr>
                <w:color w:val="1A1A1A"/>
                <w:sz w:val="20"/>
                <w:szCs w:val="20"/>
              </w:rPr>
              <w:t>10%</w:t>
            </w:r>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77DCF24A" w14:textId="77777777" w:rsidR="00C53F1B" w:rsidRDefault="00000000">
            <w:r>
              <w:rPr>
                <w:color w:val="1A1A1A"/>
                <w:sz w:val="20"/>
                <w:szCs w:val="20"/>
              </w:rPr>
              <w:t>90%</w:t>
            </w:r>
          </w:p>
        </w:tc>
        <w:tc>
          <w:tcPr>
            <w:tcW w:w="1626"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7247FD43" w14:textId="77777777" w:rsidR="00C53F1B" w:rsidRDefault="00000000">
            <w:r>
              <w:rPr>
                <w:color w:val="1A1A1A"/>
                <w:sz w:val="20"/>
                <w:szCs w:val="20"/>
              </w:rPr>
              <w:t>Includes Conservation Endowment</w:t>
            </w:r>
          </w:p>
        </w:tc>
      </w:tr>
      <w:tr w:rsidR="00C53F1B" w14:paraId="5E0D7E85"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7E8D8CCB" w14:textId="77777777" w:rsidR="00C53F1B" w:rsidRDefault="00000000">
            <w:r>
              <w:rPr>
                <w:color w:val="1A1A1A"/>
                <w:sz w:val="20"/>
                <w:szCs w:val="20"/>
              </w:rPr>
              <w:t>Contingency (10%)</w:t>
            </w:r>
          </w:p>
        </w:tc>
        <w:tc>
          <w:tcPr>
            <w:tcW w:w="18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175F5690" w14:textId="77777777" w:rsidR="00C53F1B" w:rsidRDefault="00000000">
            <w:r>
              <w:rPr>
                <w:color w:val="1A1A1A"/>
                <w:sz w:val="20"/>
                <w:szCs w:val="20"/>
              </w:rPr>
              <w:t>890</w:t>
            </w:r>
          </w:p>
        </w:tc>
        <w:tc>
          <w:tcPr>
            <w:tcW w:w="13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3F888DE1" w14:textId="77777777" w:rsidR="00C53F1B" w:rsidRDefault="00000000">
            <w:r>
              <w:rPr>
                <w:color w:val="1A1A1A"/>
                <w:sz w:val="20"/>
                <w:szCs w:val="20"/>
              </w:rPr>
              <w:t>38%</w:t>
            </w:r>
          </w:p>
        </w:tc>
        <w:tc>
          <w:tcPr>
            <w:tcW w:w="13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74B7DA16" w14:textId="77777777" w:rsidR="00C53F1B" w:rsidRDefault="00000000">
            <w:r>
              <w:rPr>
                <w:color w:val="1A1A1A"/>
                <w:sz w:val="20"/>
                <w:szCs w:val="20"/>
              </w:rPr>
              <w:t>46%</w:t>
            </w:r>
          </w:p>
        </w:tc>
        <w:tc>
          <w:tcPr>
            <w:tcW w:w="1626"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4C3666AB" w14:textId="77777777" w:rsidR="00C53F1B" w:rsidRDefault="00000000">
            <w:r>
              <w:rPr>
                <w:color w:val="1A1A1A"/>
                <w:sz w:val="20"/>
                <w:szCs w:val="20"/>
              </w:rPr>
              <w:t>Per AS/NZS ISO 31000</w:t>
            </w:r>
          </w:p>
        </w:tc>
      </w:tr>
      <w:tr w:rsidR="00C53F1B" w14:paraId="70349BCE"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46BB8A56" w14:textId="77777777" w:rsidR="00C53F1B" w:rsidRDefault="00000000">
            <w:r>
              <w:rPr>
                <w:color w:val="1A1A1A"/>
                <w:sz w:val="20"/>
                <w:szCs w:val="20"/>
              </w:rPr>
              <w:t>Security and emergency services</w:t>
            </w:r>
          </w:p>
        </w:tc>
        <w:tc>
          <w:tcPr>
            <w:tcW w:w="18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23B6CCCD" w14:textId="77777777" w:rsidR="00C53F1B" w:rsidRDefault="00000000">
            <w:r>
              <w:rPr>
                <w:color w:val="1A1A1A"/>
                <w:sz w:val="20"/>
                <w:szCs w:val="20"/>
              </w:rPr>
              <w:t>595</w:t>
            </w:r>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6DB99DB" w14:textId="77777777" w:rsidR="00C53F1B" w:rsidRDefault="00000000">
            <w:r>
              <w:rPr>
                <w:color w:val="1A1A1A"/>
                <w:sz w:val="20"/>
                <w:szCs w:val="20"/>
              </w:rPr>
              <w:t>60%</w:t>
            </w:r>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21AA480B" w14:textId="77777777" w:rsidR="00C53F1B" w:rsidRDefault="00000000">
            <w:r>
              <w:rPr>
                <w:color w:val="1A1A1A"/>
                <w:sz w:val="20"/>
                <w:szCs w:val="20"/>
              </w:rPr>
              <w:t>40%</w:t>
            </w:r>
          </w:p>
        </w:tc>
        <w:tc>
          <w:tcPr>
            <w:tcW w:w="1626"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1C9A8D8A" w14:textId="77777777" w:rsidR="00C53F1B" w:rsidRDefault="00000000">
            <w:r>
              <w:rPr>
                <w:color w:val="1A1A1A"/>
                <w:sz w:val="20"/>
                <w:szCs w:val="20"/>
              </w:rPr>
              <w:t>AFP, ASIO, WA Police joint command</w:t>
            </w:r>
          </w:p>
        </w:tc>
      </w:tr>
      <w:tr w:rsidR="00C53F1B" w14:paraId="402E92B1" w14:textId="77777777">
        <w:tblPrEx>
          <w:tblCellMar>
            <w:top w:w="0" w:type="dxa"/>
            <w:bottom w:w="0" w:type="dxa"/>
          </w:tblCellMar>
        </w:tblPrEx>
        <w:tc>
          <w:tcPr>
            <w:tcW w:w="3000" w:type="dxa"/>
            <w:tcBorders>
              <w:top w:val="single" w:sz="4" w:space="0" w:color="1F3864"/>
              <w:left w:val="single" w:sz="4" w:space="0" w:color="1F3864"/>
              <w:bottom w:val="single" w:sz="4" w:space="0" w:color="1F3864"/>
              <w:right w:val="single" w:sz="4" w:space="0" w:color="1F3864"/>
            </w:tcBorders>
            <w:shd w:val="clear" w:color="auto" w:fill="DDE4EE"/>
            <w:tcMar>
              <w:top w:w="90" w:type="dxa"/>
              <w:left w:w="130" w:type="dxa"/>
              <w:bottom w:w="90" w:type="dxa"/>
              <w:right w:w="130" w:type="dxa"/>
            </w:tcMar>
          </w:tcPr>
          <w:p w14:paraId="2D4A2247" w14:textId="77777777" w:rsidR="00C53F1B" w:rsidRDefault="00000000">
            <w:r>
              <w:rPr>
                <w:b/>
                <w:bCs/>
                <w:color w:val="1F3864"/>
                <w:sz w:val="21"/>
                <w:szCs w:val="21"/>
              </w:rPr>
              <w:t>Total</w:t>
            </w:r>
          </w:p>
        </w:tc>
        <w:tc>
          <w:tcPr>
            <w:tcW w:w="1800" w:type="dxa"/>
            <w:tcBorders>
              <w:top w:val="single" w:sz="4" w:space="0" w:color="1F3864"/>
              <w:left w:val="single" w:sz="4" w:space="0" w:color="1F3864"/>
              <w:bottom w:val="single" w:sz="4" w:space="0" w:color="1F3864"/>
              <w:right w:val="single" w:sz="4" w:space="0" w:color="1F3864"/>
            </w:tcBorders>
            <w:shd w:val="clear" w:color="auto" w:fill="DDE4EE"/>
            <w:tcMar>
              <w:top w:w="90" w:type="dxa"/>
              <w:left w:w="130" w:type="dxa"/>
              <w:bottom w:w="90" w:type="dxa"/>
              <w:right w:w="130" w:type="dxa"/>
            </w:tcMar>
          </w:tcPr>
          <w:p w14:paraId="1011BBC3" w14:textId="77777777" w:rsidR="00C53F1B" w:rsidRDefault="00000000">
            <w:r>
              <w:rPr>
                <w:b/>
                <w:bCs/>
                <w:color w:val="1F3864"/>
                <w:sz w:val="21"/>
                <w:szCs w:val="21"/>
              </w:rPr>
              <w:t>8,900</w:t>
            </w:r>
          </w:p>
        </w:tc>
        <w:tc>
          <w:tcPr>
            <w:tcW w:w="1300" w:type="dxa"/>
            <w:tcBorders>
              <w:top w:val="single" w:sz="4" w:space="0" w:color="1F3864"/>
              <w:left w:val="single" w:sz="4" w:space="0" w:color="1F3864"/>
              <w:bottom w:val="single" w:sz="4" w:space="0" w:color="1F3864"/>
              <w:right w:val="single" w:sz="4" w:space="0" w:color="1F3864"/>
            </w:tcBorders>
            <w:shd w:val="clear" w:color="auto" w:fill="DDE4EE"/>
            <w:tcMar>
              <w:top w:w="90" w:type="dxa"/>
              <w:left w:w="130" w:type="dxa"/>
              <w:bottom w:w="90" w:type="dxa"/>
              <w:right w:w="130" w:type="dxa"/>
            </w:tcMar>
          </w:tcPr>
          <w:p w14:paraId="135CE3A3" w14:textId="77777777" w:rsidR="00C53F1B" w:rsidRDefault="00000000">
            <w:r>
              <w:rPr>
                <w:b/>
                <w:bCs/>
                <w:color w:val="1F3864"/>
                <w:sz w:val="21"/>
                <w:szCs w:val="21"/>
              </w:rPr>
              <w:t>38%</w:t>
            </w:r>
          </w:p>
        </w:tc>
        <w:tc>
          <w:tcPr>
            <w:tcW w:w="1300" w:type="dxa"/>
            <w:tcBorders>
              <w:top w:val="single" w:sz="4" w:space="0" w:color="1F3864"/>
              <w:left w:val="single" w:sz="4" w:space="0" w:color="1F3864"/>
              <w:bottom w:val="single" w:sz="4" w:space="0" w:color="1F3864"/>
              <w:right w:val="single" w:sz="4" w:space="0" w:color="1F3864"/>
            </w:tcBorders>
            <w:shd w:val="clear" w:color="auto" w:fill="DDE4EE"/>
            <w:tcMar>
              <w:top w:w="90" w:type="dxa"/>
              <w:left w:w="130" w:type="dxa"/>
              <w:bottom w:w="90" w:type="dxa"/>
              <w:right w:w="130" w:type="dxa"/>
            </w:tcMar>
          </w:tcPr>
          <w:p w14:paraId="6D9595BD" w14:textId="77777777" w:rsidR="00C53F1B" w:rsidRDefault="00000000">
            <w:r>
              <w:rPr>
                <w:b/>
                <w:bCs/>
                <w:color w:val="1F3864"/>
                <w:sz w:val="21"/>
                <w:szCs w:val="21"/>
              </w:rPr>
              <w:t>46%</w:t>
            </w:r>
          </w:p>
        </w:tc>
        <w:tc>
          <w:tcPr>
            <w:tcW w:w="1626" w:type="dxa"/>
            <w:tcBorders>
              <w:top w:val="single" w:sz="4" w:space="0" w:color="1F3864"/>
              <w:left w:val="single" w:sz="4" w:space="0" w:color="1F3864"/>
              <w:bottom w:val="single" w:sz="4" w:space="0" w:color="1F3864"/>
              <w:right w:val="single" w:sz="4" w:space="0" w:color="1F3864"/>
            </w:tcBorders>
            <w:shd w:val="clear" w:color="auto" w:fill="DDE4EE"/>
            <w:tcMar>
              <w:top w:w="90" w:type="dxa"/>
              <w:left w:w="130" w:type="dxa"/>
              <w:bottom w:w="90" w:type="dxa"/>
              <w:right w:w="130" w:type="dxa"/>
            </w:tcMar>
          </w:tcPr>
          <w:p w14:paraId="1E9E7656" w14:textId="77777777" w:rsidR="00C53F1B" w:rsidRDefault="00000000">
            <w:r>
              <w:rPr>
                <w:b/>
                <w:bCs/>
                <w:color w:val="1F3864"/>
                <w:sz w:val="21"/>
                <w:szCs w:val="21"/>
              </w:rPr>
              <w:t>Balance: private/broadcast 11%, IOC 5%</w:t>
            </w:r>
          </w:p>
        </w:tc>
      </w:tr>
    </w:tbl>
    <w:p w14:paraId="55BE54C9" w14:textId="77777777" w:rsidR="00C53F1B" w:rsidRDefault="00000000">
      <w:pPr>
        <w:spacing w:before="60" w:after="200"/>
      </w:pPr>
      <w:r>
        <w:rPr>
          <w:color w:val="595959"/>
          <w:sz w:val="20"/>
          <w:szCs w:val="20"/>
        </w:rPr>
        <w:t>Table 9.1: Bid cost summary. Source: KPMG-audited forecast, October 2018. Figures in 2018 Australian dollars.</w:t>
      </w:r>
    </w:p>
    <w:p w14:paraId="01C77D9D" w14:textId="77777777" w:rsidR="00C53F1B" w:rsidRDefault="00000000">
      <w:pPr>
        <w:pStyle w:val="Heading2"/>
      </w:pPr>
      <w:bookmarkStart w:id="40" w:name="_Toc228881704"/>
      <w:r>
        <w:t>9.2 Revenue model</w:t>
      </w:r>
      <w:bookmarkEnd w:id="40"/>
    </w:p>
    <w:p w14:paraId="5D2A944D" w14:textId="77777777" w:rsidR="00C53F1B" w:rsidRDefault="00000000">
      <w:pPr>
        <w:spacing w:before="120" w:after="120" w:line="276" w:lineRule="auto"/>
      </w:pPr>
      <w:r>
        <w:rPr>
          <w:color w:val="1A1A1A"/>
        </w:rPr>
        <w:lastRenderedPageBreak/>
        <w:t>Revenue comprises four streams: broadcast and media rights (A$2.4 billion), sponsorship and licensing (A$1.8 billion), ticketing (A$0.9 billion), and merchandising (A$0.5 billion). The merchandising forecast is supported by independent benchmark data from Roy Morgan and includes the projected uplift from Quincy-branded products, modelled at 28 per cent above the design-mascot benchmark.</w:t>
      </w:r>
    </w:p>
    <w:p w14:paraId="45882484" w14:textId="77777777" w:rsidR="00C53F1B" w:rsidRDefault="00000000">
      <w:pPr>
        <w:pStyle w:val="Heading2"/>
      </w:pPr>
      <w:bookmarkStart w:id="41" w:name="_Toc228881705"/>
      <w:r>
        <w:t>9.3 Risk-adjusted contingency</w:t>
      </w:r>
      <w:bookmarkEnd w:id="41"/>
    </w:p>
    <w:p w14:paraId="12EDC4EE" w14:textId="77777777" w:rsidR="00C53F1B" w:rsidRDefault="00000000">
      <w:pPr>
        <w:spacing w:before="120" w:after="120" w:line="276" w:lineRule="auto"/>
      </w:pPr>
      <w:r>
        <w:rPr>
          <w:color w:val="1A1A1A"/>
        </w:rPr>
        <w:t>The 10 per cent contingency is calculated against the AS/NZS ISO 31000 framework. Higher contingency is applied to construction (12 per cent) and operations (15 per cent); lower contingency to sunk-cost categories (7 per cent). Section 10 (Governance and Risk Management) sets out the risk register against which contingency is provisioned.</w:t>
      </w:r>
    </w:p>
    <w:p w14:paraId="46A8A44B" w14:textId="77777777" w:rsidR="00C53F1B" w:rsidRDefault="00000000">
      <w:r>
        <w:br w:type="page"/>
      </w:r>
    </w:p>
    <w:p w14:paraId="4EB3B62D" w14:textId="77777777" w:rsidR="00C53F1B" w:rsidRDefault="00000000">
      <w:pPr>
        <w:pStyle w:val="Heading1"/>
      </w:pPr>
      <w:bookmarkStart w:id="42" w:name="_Toc228881706"/>
      <w:r>
        <w:lastRenderedPageBreak/>
        <w:t>10. Governance and Risk Management</w:t>
      </w:r>
      <w:bookmarkEnd w:id="42"/>
    </w:p>
    <w:p w14:paraId="5F60A986" w14:textId="77777777" w:rsidR="00C53F1B" w:rsidRDefault="00000000">
      <w:pPr>
        <w:spacing w:before="120" w:after="120" w:line="276" w:lineRule="auto"/>
      </w:pPr>
      <w:r>
        <w:rPr>
          <w:color w:val="1A1A1A"/>
        </w:rPr>
        <w:t>The Perth 2032 Organising Committee is constituted under the Western Australian Olympic Games Act 2018. The Committee operates under a tripartite governance model: the Government of Western Australia (chair), the Commonwealth of Australia, and the IOC. The Committee reports quarterly to the WA Parliament and to the IOC Coordination Commission.</w:t>
      </w:r>
    </w:p>
    <w:p w14:paraId="1A5456F8" w14:textId="77777777" w:rsidR="00C53F1B" w:rsidRDefault="00000000">
      <w:pPr>
        <w:pStyle w:val="Heading2"/>
      </w:pPr>
      <w:bookmarkStart w:id="43" w:name="_Toc228881707"/>
      <w:r>
        <w:t>10.1 Risk register</w:t>
      </w:r>
      <w:bookmarkEnd w:id="43"/>
    </w:p>
    <w:p w14:paraId="3099210A" w14:textId="77777777" w:rsidR="00C53F1B" w:rsidRDefault="00000000">
      <w:pPr>
        <w:spacing w:before="120" w:after="120" w:line="276" w:lineRule="auto"/>
      </w:pPr>
      <w:r>
        <w:rPr>
          <w:color w:val="1A1A1A"/>
        </w:rPr>
        <w:t>Table 10.1 sets out the bid risk register. Likelihood and Consequence ratings are calibrated to AS/NZS ISO 31000. Residual rating is the rating after mitigation.</w:t>
      </w:r>
    </w:p>
    <w:p w14:paraId="7D955844" w14:textId="77777777" w:rsidR="00C53F1B" w:rsidRDefault="00C53F1B">
      <w:pPr>
        <w:spacing w:after="120"/>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300"/>
        <w:gridCol w:w="1500"/>
        <w:gridCol w:w="2900"/>
        <w:gridCol w:w="1326"/>
      </w:tblGrid>
      <w:tr w:rsidR="00C53F1B" w14:paraId="35BB7C82" w14:textId="77777777">
        <w:tblPrEx>
          <w:tblCellMar>
            <w:top w:w="0" w:type="dxa"/>
            <w:bottom w:w="0" w:type="dxa"/>
          </w:tblCellMar>
        </w:tblPrEx>
        <w:trPr>
          <w:tblHeader/>
        </w:trPr>
        <w:tc>
          <w:tcPr>
            <w:tcW w:w="30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65682E86" w14:textId="77777777" w:rsidR="00C53F1B" w:rsidRDefault="00000000">
            <w:r>
              <w:rPr>
                <w:b/>
                <w:bCs/>
                <w:color w:val="FFFFFF"/>
              </w:rPr>
              <w:t>Risk</w:t>
            </w:r>
          </w:p>
        </w:tc>
        <w:tc>
          <w:tcPr>
            <w:tcW w:w="13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68CDB467" w14:textId="77777777" w:rsidR="00C53F1B" w:rsidRDefault="00000000">
            <w:r>
              <w:rPr>
                <w:b/>
                <w:bCs/>
                <w:color w:val="FFFFFF"/>
              </w:rPr>
              <w:t>Likelihood</w:t>
            </w:r>
          </w:p>
        </w:tc>
        <w:tc>
          <w:tcPr>
            <w:tcW w:w="15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368EB892" w14:textId="77777777" w:rsidR="00C53F1B" w:rsidRDefault="00000000">
            <w:r>
              <w:rPr>
                <w:b/>
                <w:bCs/>
                <w:color w:val="FFFFFF"/>
              </w:rPr>
              <w:t>Consequence</w:t>
            </w:r>
          </w:p>
        </w:tc>
        <w:tc>
          <w:tcPr>
            <w:tcW w:w="2900"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1C4B9B1F" w14:textId="77777777" w:rsidR="00C53F1B" w:rsidRDefault="00000000">
            <w:r>
              <w:rPr>
                <w:b/>
                <w:bCs/>
                <w:color w:val="FFFFFF"/>
              </w:rPr>
              <w:t>Mitigation</w:t>
            </w:r>
          </w:p>
        </w:tc>
        <w:tc>
          <w:tcPr>
            <w:tcW w:w="1326" w:type="dxa"/>
            <w:tcBorders>
              <w:top w:val="single" w:sz="4" w:space="0" w:color="1F3864"/>
              <w:left w:val="single" w:sz="4" w:space="0" w:color="1F3864"/>
              <w:bottom w:val="single" w:sz="4" w:space="0" w:color="1F3864"/>
              <w:right w:val="single" w:sz="4" w:space="0" w:color="1F3864"/>
            </w:tcBorders>
            <w:shd w:val="clear" w:color="auto" w:fill="1F3864"/>
            <w:tcMar>
              <w:top w:w="100" w:type="dxa"/>
              <w:left w:w="130" w:type="dxa"/>
              <w:bottom w:w="100" w:type="dxa"/>
              <w:right w:w="130" w:type="dxa"/>
            </w:tcMar>
          </w:tcPr>
          <w:p w14:paraId="1B8AC530" w14:textId="77777777" w:rsidR="00C53F1B" w:rsidRDefault="00000000">
            <w:r>
              <w:rPr>
                <w:b/>
                <w:bCs/>
                <w:color w:val="FFFFFF"/>
              </w:rPr>
              <w:t>Residual</w:t>
            </w:r>
          </w:p>
        </w:tc>
      </w:tr>
      <w:tr w:rsidR="00C53F1B" w14:paraId="47F009E4"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74A4584C" w14:textId="77777777" w:rsidR="00C53F1B" w:rsidRDefault="00000000">
            <w:r>
              <w:rPr>
                <w:color w:val="1A1A1A"/>
                <w:sz w:val="20"/>
                <w:szCs w:val="20"/>
              </w:rPr>
              <w:t>Construction cost overrun on new venues</w:t>
            </w:r>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5FDC49FA" w14:textId="77777777" w:rsidR="00C53F1B" w:rsidRDefault="00000000">
            <w:r>
              <w:rPr>
                <w:color w:val="1A1A1A"/>
                <w:sz w:val="20"/>
                <w:szCs w:val="20"/>
              </w:rPr>
              <w:t>Medium</w:t>
            </w:r>
          </w:p>
        </w:tc>
        <w:tc>
          <w:tcPr>
            <w:tcW w:w="1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210EEB17" w14:textId="77777777" w:rsidR="00C53F1B" w:rsidRDefault="00000000">
            <w:r>
              <w:rPr>
                <w:color w:val="1A1A1A"/>
                <w:sz w:val="20"/>
                <w:szCs w:val="20"/>
              </w:rPr>
              <w:t>Major</w:t>
            </w:r>
          </w:p>
        </w:tc>
        <w:tc>
          <w:tcPr>
            <w:tcW w:w="2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545DA114" w14:textId="77777777" w:rsidR="00C53F1B" w:rsidRDefault="00000000">
            <w:r>
              <w:rPr>
                <w:color w:val="1A1A1A"/>
                <w:sz w:val="20"/>
                <w:szCs w:val="20"/>
              </w:rPr>
              <w:t>Fixed-price contracts; 12% category contingency</w:t>
            </w:r>
          </w:p>
        </w:tc>
        <w:tc>
          <w:tcPr>
            <w:tcW w:w="1326"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26F9604C" w14:textId="77777777" w:rsidR="00C53F1B" w:rsidRDefault="00000000">
            <w:r>
              <w:rPr>
                <w:color w:val="1A1A1A"/>
                <w:sz w:val="20"/>
                <w:szCs w:val="20"/>
              </w:rPr>
              <w:t>Low</w:t>
            </w:r>
          </w:p>
        </w:tc>
      </w:tr>
      <w:tr w:rsidR="00C53F1B" w14:paraId="3ECA702A"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5EB85834" w14:textId="77777777" w:rsidR="00C53F1B" w:rsidRDefault="00000000">
            <w:r>
              <w:rPr>
                <w:color w:val="1A1A1A"/>
                <w:sz w:val="20"/>
                <w:szCs w:val="20"/>
              </w:rPr>
              <w:t>Delay to Burswood Aquatics Centre</w:t>
            </w:r>
          </w:p>
        </w:tc>
        <w:tc>
          <w:tcPr>
            <w:tcW w:w="13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611C9DB4" w14:textId="77777777" w:rsidR="00C53F1B" w:rsidRDefault="00000000">
            <w:r>
              <w:rPr>
                <w:color w:val="1A1A1A"/>
                <w:sz w:val="20"/>
                <w:szCs w:val="20"/>
              </w:rPr>
              <w:t>Medium</w:t>
            </w:r>
          </w:p>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21DAE1ED" w14:textId="77777777" w:rsidR="00C53F1B" w:rsidRDefault="00000000">
            <w:r>
              <w:rPr>
                <w:color w:val="1A1A1A"/>
                <w:sz w:val="20"/>
                <w:szCs w:val="20"/>
              </w:rPr>
              <w:t>Major</w:t>
            </w:r>
          </w:p>
        </w:tc>
        <w:tc>
          <w:tcPr>
            <w:tcW w:w="2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651A0B46" w14:textId="77777777" w:rsidR="00C53F1B" w:rsidRDefault="00000000">
            <w:r>
              <w:rPr>
                <w:color w:val="1A1A1A"/>
                <w:sz w:val="20"/>
                <w:szCs w:val="20"/>
              </w:rPr>
              <w:t>Twin-stream scheduling; offshore precast option</w:t>
            </w:r>
          </w:p>
        </w:tc>
        <w:tc>
          <w:tcPr>
            <w:tcW w:w="1326"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332F75E4" w14:textId="77777777" w:rsidR="00C53F1B" w:rsidRDefault="00000000">
            <w:r>
              <w:rPr>
                <w:color w:val="1A1A1A"/>
                <w:sz w:val="20"/>
                <w:szCs w:val="20"/>
              </w:rPr>
              <w:t>Medium</w:t>
            </w:r>
          </w:p>
        </w:tc>
      </w:tr>
      <w:tr w:rsidR="00C53F1B" w14:paraId="1A613A06"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773DC7E8" w14:textId="77777777" w:rsidR="00C53F1B" w:rsidRDefault="00000000">
            <w:r>
              <w:rPr>
                <w:color w:val="1A1A1A"/>
                <w:sz w:val="20"/>
                <w:szCs w:val="20"/>
              </w:rPr>
              <w:t>Federal funding withdrawal</w:t>
            </w:r>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182B0885" w14:textId="77777777" w:rsidR="00C53F1B" w:rsidRDefault="00000000">
            <w:r>
              <w:rPr>
                <w:color w:val="1A1A1A"/>
                <w:sz w:val="20"/>
                <w:szCs w:val="20"/>
              </w:rPr>
              <w:t>Low</w:t>
            </w:r>
          </w:p>
        </w:tc>
        <w:tc>
          <w:tcPr>
            <w:tcW w:w="1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45F285E5" w14:textId="77777777" w:rsidR="00C53F1B" w:rsidRDefault="00000000">
            <w:r>
              <w:rPr>
                <w:color w:val="1A1A1A"/>
                <w:sz w:val="20"/>
                <w:szCs w:val="20"/>
              </w:rPr>
              <w:t>Severe</w:t>
            </w:r>
          </w:p>
        </w:tc>
        <w:tc>
          <w:tcPr>
            <w:tcW w:w="2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4078926" w14:textId="77777777" w:rsidR="00C53F1B" w:rsidRDefault="00000000">
            <w:r>
              <w:rPr>
                <w:color w:val="1A1A1A"/>
                <w:sz w:val="20"/>
                <w:szCs w:val="20"/>
              </w:rPr>
              <w:t>Bipartisan signed undertakings (Annex A)</w:t>
            </w:r>
          </w:p>
        </w:tc>
        <w:tc>
          <w:tcPr>
            <w:tcW w:w="1326"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02519F3" w14:textId="77777777" w:rsidR="00C53F1B" w:rsidRDefault="00000000">
            <w:r>
              <w:rPr>
                <w:color w:val="1A1A1A"/>
                <w:sz w:val="20"/>
                <w:szCs w:val="20"/>
              </w:rPr>
              <w:t>Low</w:t>
            </w:r>
          </w:p>
        </w:tc>
      </w:tr>
      <w:tr w:rsidR="00C53F1B" w14:paraId="05AF9C14"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1EFBBB3E" w14:textId="77777777" w:rsidR="00C53F1B" w:rsidRDefault="00000000">
            <w:r>
              <w:rPr>
                <w:color w:val="1A1A1A"/>
                <w:sz w:val="20"/>
                <w:szCs w:val="20"/>
              </w:rPr>
              <w:t>Quokka brand dilution through unlicensed merchandise</w:t>
            </w:r>
          </w:p>
        </w:tc>
        <w:tc>
          <w:tcPr>
            <w:tcW w:w="13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3A4B02CE" w14:textId="77777777" w:rsidR="00C53F1B" w:rsidRDefault="00000000">
            <w:r>
              <w:rPr>
                <w:color w:val="1A1A1A"/>
                <w:sz w:val="20"/>
                <w:szCs w:val="20"/>
              </w:rPr>
              <w:t>High</w:t>
            </w:r>
          </w:p>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6AB76509" w14:textId="77777777" w:rsidR="00C53F1B" w:rsidRDefault="00000000">
            <w:r>
              <w:rPr>
                <w:color w:val="1A1A1A"/>
                <w:sz w:val="20"/>
                <w:szCs w:val="20"/>
              </w:rPr>
              <w:t>Moderate</w:t>
            </w:r>
          </w:p>
        </w:tc>
        <w:tc>
          <w:tcPr>
            <w:tcW w:w="2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18AC000F" w14:textId="77777777" w:rsidR="00C53F1B" w:rsidRDefault="00000000">
            <w:r>
              <w:rPr>
                <w:color w:val="1A1A1A"/>
                <w:sz w:val="20"/>
                <w:szCs w:val="20"/>
              </w:rPr>
              <w:t xml:space="preserve">IP Australia </w:t>
            </w:r>
            <w:proofErr w:type="gramStart"/>
            <w:r>
              <w:rPr>
                <w:color w:val="1A1A1A"/>
                <w:sz w:val="20"/>
                <w:szCs w:val="20"/>
              </w:rPr>
              <w:t>trade mark</w:t>
            </w:r>
            <w:proofErr w:type="gramEnd"/>
            <w:r>
              <w:rPr>
                <w:color w:val="1A1A1A"/>
                <w:sz w:val="20"/>
                <w:szCs w:val="20"/>
              </w:rPr>
              <w:t>; IOC brand protection programme</w:t>
            </w:r>
          </w:p>
        </w:tc>
        <w:tc>
          <w:tcPr>
            <w:tcW w:w="1326"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198B079C" w14:textId="77777777" w:rsidR="00C53F1B" w:rsidRDefault="00000000">
            <w:r>
              <w:rPr>
                <w:color w:val="1A1A1A"/>
                <w:sz w:val="20"/>
                <w:szCs w:val="20"/>
              </w:rPr>
              <w:t>Medium</w:t>
            </w:r>
          </w:p>
        </w:tc>
      </w:tr>
      <w:tr w:rsidR="00C53F1B" w14:paraId="2BB3ACA0"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3D036BC8" w14:textId="77777777" w:rsidR="00C53F1B" w:rsidRDefault="00000000">
            <w:r>
              <w:rPr>
                <w:color w:val="1A1A1A"/>
                <w:sz w:val="20"/>
                <w:szCs w:val="20"/>
              </w:rPr>
              <w:t>Cyclone or severe weather during Games window</w:t>
            </w:r>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474A9A31" w14:textId="77777777" w:rsidR="00C53F1B" w:rsidRDefault="00000000">
            <w:r>
              <w:rPr>
                <w:color w:val="1A1A1A"/>
                <w:sz w:val="20"/>
                <w:szCs w:val="20"/>
              </w:rPr>
              <w:t>Low</w:t>
            </w:r>
          </w:p>
        </w:tc>
        <w:tc>
          <w:tcPr>
            <w:tcW w:w="1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140A2F08" w14:textId="77777777" w:rsidR="00C53F1B" w:rsidRDefault="00000000">
            <w:r>
              <w:rPr>
                <w:color w:val="1A1A1A"/>
                <w:sz w:val="20"/>
                <w:szCs w:val="20"/>
              </w:rPr>
              <w:t>Major</w:t>
            </w:r>
          </w:p>
        </w:tc>
        <w:tc>
          <w:tcPr>
            <w:tcW w:w="2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65BB0897" w14:textId="77777777" w:rsidR="00C53F1B" w:rsidRDefault="00000000">
            <w:r>
              <w:rPr>
                <w:color w:val="1A1A1A"/>
                <w:sz w:val="20"/>
                <w:szCs w:val="20"/>
              </w:rPr>
              <w:t>July is dry season; 17-day flexibility built into schedule</w:t>
            </w:r>
          </w:p>
        </w:tc>
        <w:tc>
          <w:tcPr>
            <w:tcW w:w="1326"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53457C05" w14:textId="77777777" w:rsidR="00C53F1B" w:rsidRDefault="00000000">
            <w:r>
              <w:rPr>
                <w:color w:val="1A1A1A"/>
                <w:sz w:val="20"/>
                <w:szCs w:val="20"/>
              </w:rPr>
              <w:t>Low</w:t>
            </w:r>
          </w:p>
        </w:tc>
      </w:tr>
      <w:tr w:rsidR="00C53F1B" w14:paraId="0DC88405"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26F243AD" w14:textId="77777777" w:rsidR="00C53F1B" w:rsidRDefault="00000000">
            <w:r>
              <w:rPr>
                <w:color w:val="1A1A1A"/>
                <w:sz w:val="20"/>
                <w:szCs w:val="20"/>
              </w:rPr>
              <w:t>Whadjuk cultural protocol failure</w:t>
            </w:r>
          </w:p>
        </w:tc>
        <w:tc>
          <w:tcPr>
            <w:tcW w:w="13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371B1D9D" w14:textId="77777777" w:rsidR="00C53F1B" w:rsidRDefault="00000000">
            <w:r>
              <w:rPr>
                <w:color w:val="1A1A1A"/>
                <w:sz w:val="20"/>
                <w:szCs w:val="20"/>
              </w:rPr>
              <w:t>Low</w:t>
            </w:r>
          </w:p>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264BDABE" w14:textId="77777777" w:rsidR="00C53F1B" w:rsidRDefault="00000000">
            <w:r>
              <w:rPr>
                <w:color w:val="1A1A1A"/>
                <w:sz w:val="20"/>
                <w:szCs w:val="20"/>
              </w:rPr>
              <w:t>Severe</w:t>
            </w:r>
          </w:p>
        </w:tc>
        <w:tc>
          <w:tcPr>
            <w:tcW w:w="2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4713622C" w14:textId="77777777" w:rsidR="00C53F1B" w:rsidRDefault="00000000">
            <w:r>
              <w:rPr>
                <w:color w:val="1A1A1A"/>
                <w:sz w:val="20"/>
                <w:szCs w:val="20"/>
              </w:rPr>
              <w:t>Whadjuk Working Party signed protocol agreement</w:t>
            </w:r>
          </w:p>
        </w:tc>
        <w:tc>
          <w:tcPr>
            <w:tcW w:w="1326"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4DA9FFD6" w14:textId="77777777" w:rsidR="00C53F1B" w:rsidRDefault="00000000">
            <w:r>
              <w:rPr>
                <w:color w:val="1A1A1A"/>
                <w:sz w:val="20"/>
                <w:szCs w:val="20"/>
              </w:rPr>
              <w:t>Low</w:t>
            </w:r>
          </w:p>
        </w:tc>
      </w:tr>
      <w:tr w:rsidR="00C53F1B" w14:paraId="7D42EEC2"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607D6E09" w14:textId="77777777" w:rsidR="00C53F1B" w:rsidRDefault="00000000">
            <w:r>
              <w:rPr>
                <w:color w:val="1A1A1A"/>
                <w:sz w:val="20"/>
                <w:szCs w:val="20"/>
              </w:rPr>
              <w:t>Athletes' Village delivery slippage</w:t>
            </w:r>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46F32E47" w14:textId="77777777" w:rsidR="00C53F1B" w:rsidRDefault="00000000">
            <w:r>
              <w:rPr>
                <w:color w:val="1A1A1A"/>
                <w:sz w:val="20"/>
                <w:szCs w:val="20"/>
              </w:rPr>
              <w:t>Medium</w:t>
            </w:r>
          </w:p>
        </w:tc>
        <w:tc>
          <w:tcPr>
            <w:tcW w:w="1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7A433FEB" w14:textId="77777777" w:rsidR="00C53F1B" w:rsidRDefault="00000000">
            <w:r>
              <w:rPr>
                <w:color w:val="1A1A1A"/>
                <w:sz w:val="20"/>
                <w:szCs w:val="20"/>
              </w:rPr>
              <w:t>Major</w:t>
            </w:r>
          </w:p>
        </w:tc>
        <w:tc>
          <w:tcPr>
            <w:tcW w:w="2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0F80A51" w14:textId="77777777" w:rsidR="00C53F1B" w:rsidRDefault="00000000">
            <w:r>
              <w:rPr>
                <w:color w:val="1A1A1A"/>
                <w:sz w:val="20"/>
                <w:szCs w:val="20"/>
              </w:rPr>
              <w:t>Quarterly Premier's Office reporting; Cabinet trigger</w:t>
            </w:r>
          </w:p>
        </w:tc>
        <w:tc>
          <w:tcPr>
            <w:tcW w:w="1326"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46B0874A" w14:textId="77777777" w:rsidR="00C53F1B" w:rsidRDefault="00000000">
            <w:r>
              <w:rPr>
                <w:color w:val="1A1A1A"/>
                <w:sz w:val="20"/>
                <w:szCs w:val="20"/>
              </w:rPr>
              <w:t>Low</w:t>
            </w:r>
          </w:p>
        </w:tc>
      </w:tr>
      <w:tr w:rsidR="00C53F1B" w14:paraId="2C5D9DE3"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0BCE7BB8" w14:textId="77777777" w:rsidR="00C53F1B" w:rsidRDefault="00000000">
            <w:r>
              <w:rPr>
                <w:color w:val="1A1A1A"/>
                <w:sz w:val="20"/>
                <w:szCs w:val="20"/>
              </w:rPr>
              <w:t>Cyber-security compromise of accreditation system</w:t>
            </w:r>
          </w:p>
        </w:tc>
        <w:tc>
          <w:tcPr>
            <w:tcW w:w="13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0B6D0369" w14:textId="77777777" w:rsidR="00C53F1B" w:rsidRDefault="00000000">
            <w:r>
              <w:rPr>
                <w:color w:val="1A1A1A"/>
                <w:sz w:val="20"/>
                <w:szCs w:val="20"/>
              </w:rPr>
              <w:t>Medium</w:t>
            </w:r>
          </w:p>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70288425" w14:textId="77777777" w:rsidR="00C53F1B" w:rsidRDefault="00000000">
            <w:r>
              <w:rPr>
                <w:color w:val="1A1A1A"/>
                <w:sz w:val="20"/>
                <w:szCs w:val="20"/>
              </w:rPr>
              <w:t>Major</w:t>
            </w:r>
          </w:p>
        </w:tc>
        <w:tc>
          <w:tcPr>
            <w:tcW w:w="2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5D6277B3" w14:textId="77777777" w:rsidR="00C53F1B" w:rsidRDefault="00000000">
            <w:r>
              <w:rPr>
                <w:color w:val="1A1A1A"/>
                <w:sz w:val="20"/>
                <w:szCs w:val="20"/>
              </w:rPr>
              <w:t>ASD/ASIO joint accreditation; Federal cyber lead</w:t>
            </w:r>
          </w:p>
        </w:tc>
        <w:tc>
          <w:tcPr>
            <w:tcW w:w="1326"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2596FC66" w14:textId="77777777" w:rsidR="00C53F1B" w:rsidRDefault="00000000">
            <w:r>
              <w:rPr>
                <w:color w:val="1A1A1A"/>
                <w:sz w:val="20"/>
                <w:szCs w:val="20"/>
              </w:rPr>
              <w:t>Low</w:t>
            </w:r>
          </w:p>
        </w:tc>
      </w:tr>
      <w:tr w:rsidR="00C53F1B" w14:paraId="581841FE"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1E7ED639" w14:textId="77777777" w:rsidR="00C53F1B" w:rsidRDefault="00000000">
            <w:r>
              <w:rPr>
                <w:color w:val="1A1A1A"/>
                <w:sz w:val="20"/>
                <w:szCs w:val="20"/>
              </w:rPr>
              <w:t xml:space="preserve">Volunteer shortfall against 60,000 </w:t>
            </w:r>
            <w:proofErr w:type="gramStart"/>
            <w:r>
              <w:rPr>
                <w:color w:val="1A1A1A"/>
                <w:sz w:val="20"/>
                <w:szCs w:val="20"/>
              </w:rPr>
              <w:t>target</w:t>
            </w:r>
            <w:proofErr w:type="gramEnd"/>
          </w:p>
        </w:tc>
        <w:tc>
          <w:tcPr>
            <w:tcW w:w="13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2ED0A80" w14:textId="77777777" w:rsidR="00C53F1B" w:rsidRDefault="00000000">
            <w:r>
              <w:rPr>
                <w:color w:val="1A1A1A"/>
                <w:sz w:val="20"/>
                <w:szCs w:val="20"/>
              </w:rPr>
              <w:t>Low</w:t>
            </w:r>
          </w:p>
        </w:tc>
        <w:tc>
          <w:tcPr>
            <w:tcW w:w="1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5AB8700B" w14:textId="77777777" w:rsidR="00C53F1B" w:rsidRDefault="00000000">
            <w:r>
              <w:rPr>
                <w:color w:val="1A1A1A"/>
                <w:sz w:val="20"/>
                <w:szCs w:val="20"/>
              </w:rPr>
              <w:t>Moderate</w:t>
            </w:r>
          </w:p>
        </w:tc>
        <w:tc>
          <w:tcPr>
            <w:tcW w:w="29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70AF41E4" w14:textId="77777777" w:rsidR="00C53F1B" w:rsidRDefault="00000000">
            <w:r>
              <w:rPr>
                <w:color w:val="1A1A1A"/>
                <w:sz w:val="20"/>
                <w:szCs w:val="20"/>
              </w:rPr>
              <w:t>Tertiary-sector partnership; existing UWA/Curtin/Murdoch programmes</w:t>
            </w:r>
          </w:p>
        </w:tc>
        <w:tc>
          <w:tcPr>
            <w:tcW w:w="1326" w:type="dxa"/>
            <w:tcBorders>
              <w:top w:val="single" w:sz="4" w:space="0" w:color="BFBFBF"/>
              <w:left w:val="single" w:sz="4" w:space="0" w:color="BFBFBF"/>
              <w:bottom w:val="single" w:sz="4" w:space="0" w:color="BFBFBF"/>
              <w:right w:val="single" w:sz="4" w:space="0" w:color="BFBFBF"/>
            </w:tcBorders>
            <w:shd w:val="clear" w:color="auto" w:fill="FFFFFF"/>
            <w:tcMar>
              <w:top w:w="80" w:type="dxa"/>
              <w:left w:w="130" w:type="dxa"/>
              <w:bottom w:w="80" w:type="dxa"/>
              <w:right w:w="130" w:type="dxa"/>
            </w:tcMar>
          </w:tcPr>
          <w:p w14:paraId="0E7FCE41" w14:textId="77777777" w:rsidR="00C53F1B" w:rsidRDefault="00000000">
            <w:r>
              <w:rPr>
                <w:color w:val="1A1A1A"/>
                <w:sz w:val="20"/>
                <w:szCs w:val="20"/>
              </w:rPr>
              <w:t>Low</w:t>
            </w:r>
          </w:p>
        </w:tc>
      </w:tr>
      <w:tr w:rsidR="00C53F1B" w14:paraId="11649EFE"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35A897D3" w14:textId="77777777" w:rsidR="00C53F1B" w:rsidRDefault="00000000">
            <w:r>
              <w:rPr>
                <w:color w:val="1A1A1A"/>
                <w:sz w:val="20"/>
                <w:szCs w:val="20"/>
              </w:rPr>
              <w:t>Cost-of-living impact during Games window</w:t>
            </w:r>
          </w:p>
        </w:tc>
        <w:tc>
          <w:tcPr>
            <w:tcW w:w="13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1FD5385F" w14:textId="77777777" w:rsidR="00C53F1B" w:rsidRDefault="00000000">
            <w:r>
              <w:rPr>
                <w:color w:val="1A1A1A"/>
                <w:sz w:val="20"/>
                <w:szCs w:val="20"/>
              </w:rPr>
              <w:t>Medium</w:t>
            </w:r>
          </w:p>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51E04943" w14:textId="77777777" w:rsidR="00C53F1B" w:rsidRDefault="00000000">
            <w:r>
              <w:rPr>
                <w:color w:val="1A1A1A"/>
                <w:sz w:val="20"/>
                <w:szCs w:val="20"/>
              </w:rPr>
              <w:t>Moderate</w:t>
            </w:r>
          </w:p>
        </w:tc>
        <w:tc>
          <w:tcPr>
            <w:tcW w:w="2900"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24676463" w14:textId="77777777" w:rsidR="00C53F1B" w:rsidRDefault="00000000">
            <w:r>
              <w:rPr>
                <w:color w:val="1A1A1A"/>
                <w:sz w:val="20"/>
                <w:szCs w:val="20"/>
              </w:rPr>
              <w:t>Price monitoring; consumer protection oversight</w:t>
            </w:r>
          </w:p>
        </w:tc>
        <w:tc>
          <w:tcPr>
            <w:tcW w:w="1326" w:type="dxa"/>
            <w:tcBorders>
              <w:top w:val="single" w:sz="4" w:space="0" w:color="BFBFBF"/>
              <w:left w:val="single" w:sz="4" w:space="0" w:color="BFBFBF"/>
              <w:bottom w:val="single" w:sz="4" w:space="0" w:color="BFBFBF"/>
              <w:right w:val="single" w:sz="4" w:space="0" w:color="BFBFBF"/>
            </w:tcBorders>
            <w:shd w:val="clear" w:color="auto" w:fill="F8F8F8"/>
            <w:tcMar>
              <w:top w:w="80" w:type="dxa"/>
              <w:left w:w="130" w:type="dxa"/>
              <w:bottom w:w="80" w:type="dxa"/>
              <w:right w:w="130" w:type="dxa"/>
            </w:tcMar>
          </w:tcPr>
          <w:p w14:paraId="2D82E3A9" w14:textId="77777777" w:rsidR="00C53F1B" w:rsidRDefault="00000000">
            <w:r>
              <w:rPr>
                <w:color w:val="1A1A1A"/>
                <w:sz w:val="20"/>
                <w:szCs w:val="20"/>
              </w:rPr>
              <w:t>Medium</w:t>
            </w:r>
          </w:p>
        </w:tc>
      </w:tr>
    </w:tbl>
    <w:p w14:paraId="5C342C85" w14:textId="77777777" w:rsidR="00C53F1B" w:rsidRDefault="00000000">
      <w:pPr>
        <w:spacing w:before="60" w:after="200"/>
      </w:pPr>
      <w:r>
        <w:rPr>
          <w:color w:val="595959"/>
          <w:sz w:val="20"/>
          <w:szCs w:val="20"/>
        </w:rPr>
        <w:t>Table 10.1: Risk register. Source: Perth 2032 Risk Working Group, October 2018. Calibrated to AS/NZS ISO 31000.</w:t>
      </w:r>
    </w:p>
    <w:p w14:paraId="589CD7A3" w14:textId="77777777" w:rsidR="00C53F1B" w:rsidRDefault="00000000">
      <w:pPr>
        <w:pStyle w:val="Heading2"/>
      </w:pPr>
      <w:bookmarkStart w:id="44" w:name="_Toc228881708"/>
      <w:r>
        <w:t>10.2 Reporting and accountability</w:t>
      </w:r>
      <w:bookmarkEnd w:id="44"/>
    </w:p>
    <w:p w14:paraId="14096295" w14:textId="77777777" w:rsidR="00C53F1B" w:rsidRDefault="00000000">
      <w:pPr>
        <w:spacing w:before="120" w:after="120" w:line="276" w:lineRule="auto"/>
      </w:pPr>
      <w:r>
        <w:rPr>
          <w:color w:val="1A1A1A"/>
        </w:rPr>
        <w:t>The Perth 2032 Organising Committee reports quarterly to the WA Parliament's Joint Standing Committee on the Olympics, established under the WA Olympic Games Act 2018. The Committee also reports annually to the IOC Coordination Commission and is subject to concurrent audit by the Australian National Audit Office and the WA Auditor General.</w:t>
      </w:r>
    </w:p>
    <w:p w14:paraId="4717A3DA" w14:textId="77777777" w:rsidR="00C53F1B" w:rsidRDefault="00000000">
      <w:pPr>
        <w:pStyle w:val="Heading2"/>
      </w:pPr>
      <w:bookmarkStart w:id="45" w:name="_Toc228881709"/>
      <w:r>
        <w:lastRenderedPageBreak/>
        <w:t>10.3 Brand and reputation governance</w:t>
      </w:r>
      <w:bookmarkEnd w:id="45"/>
    </w:p>
    <w:p w14:paraId="70F5C519" w14:textId="77777777" w:rsidR="00C53F1B" w:rsidRDefault="00000000">
      <w:pPr>
        <w:spacing w:before="120" w:after="120" w:line="276" w:lineRule="auto"/>
      </w:pPr>
      <w:r>
        <w:rPr>
          <w:color w:val="1A1A1A"/>
        </w:rPr>
        <w:t>Quincy brand governance sits with the Tourism Western Australia Mascot Sub-Committee, which meets monthly during the bid period and fortnightly during the Games delivery period. The Sub-Committee approves all uses of the Quincy character across marketing, merchandise, and broadcast contexts. A Quokka conservation specialist from the Department of Biodiversity, Conservation and Attractions sits on the Sub-Committee as a permanent member; this is to ensure the mascot programme remains conservation-positive throughout.</w:t>
      </w:r>
    </w:p>
    <w:p w14:paraId="1F97474C" w14:textId="77777777" w:rsidR="00C53F1B" w:rsidRDefault="00000000">
      <w:r>
        <w:br w:type="page"/>
      </w:r>
    </w:p>
    <w:p w14:paraId="0996E1CA" w14:textId="77777777" w:rsidR="00C53F1B" w:rsidRDefault="00000000">
      <w:pPr>
        <w:pStyle w:val="Heading1"/>
      </w:pPr>
      <w:bookmarkStart w:id="46" w:name="_Toc228881710"/>
      <w:r>
        <w:lastRenderedPageBreak/>
        <w:t>A. Annex A — Letters of Support</w:t>
      </w:r>
      <w:bookmarkEnd w:id="46"/>
    </w:p>
    <w:p w14:paraId="7C60B82E" w14:textId="77777777" w:rsidR="00C53F1B" w:rsidRDefault="00000000">
      <w:pPr>
        <w:spacing w:before="120" w:after="120" w:line="276" w:lineRule="auto"/>
      </w:pPr>
      <w:r>
        <w:rPr>
          <w:color w:val="1A1A1A"/>
        </w:rPr>
        <w:t>Annex A contains the following letters of support, attached as Volume II of this submission. Each letter is signed and dated. The summary below is provided for IOC review convenience; the IOC Documentation Compliance Officer should refer to Volume II for the full text of each letter.</w:t>
      </w:r>
    </w:p>
    <w:p w14:paraId="2586A696" w14:textId="77777777" w:rsidR="00C53F1B" w:rsidRDefault="00000000">
      <w:pPr>
        <w:pStyle w:val="ListParagraph"/>
        <w:numPr>
          <w:ilvl w:val="0"/>
          <w:numId w:val="2"/>
        </w:numPr>
        <w:spacing w:after="60"/>
      </w:pPr>
      <w:r>
        <w:rPr>
          <w:color w:val="1A1A1A"/>
        </w:rPr>
        <w:t>Letter from the Hon. Mark McGowan MLA, Premier of Western Australia, dated 8 November 2018</w:t>
      </w:r>
    </w:p>
    <w:p w14:paraId="39B1954B" w14:textId="77777777" w:rsidR="00C53F1B" w:rsidRDefault="00000000">
      <w:pPr>
        <w:pStyle w:val="ListParagraph"/>
        <w:numPr>
          <w:ilvl w:val="0"/>
          <w:numId w:val="2"/>
        </w:numPr>
        <w:spacing w:after="60"/>
      </w:pPr>
      <w:r>
        <w:rPr>
          <w:color w:val="1A1A1A"/>
        </w:rPr>
        <w:t>Letter from the Prime Minister of Australia, dated 12 November 2018</w:t>
      </w:r>
    </w:p>
    <w:p w14:paraId="6CB93F0D" w14:textId="77777777" w:rsidR="00C53F1B" w:rsidRDefault="00000000">
      <w:pPr>
        <w:pStyle w:val="ListParagraph"/>
        <w:numPr>
          <w:ilvl w:val="0"/>
          <w:numId w:val="2"/>
        </w:numPr>
        <w:spacing w:after="60"/>
      </w:pPr>
      <w:r>
        <w:rPr>
          <w:color w:val="1A1A1A"/>
        </w:rPr>
        <w:t>Letter from the Leader of the Opposition (WA), dated 9 November 2018, confirming bipartisan support</w:t>
      </w:r>
    </w:p>
    <w:p w14:paraId="19B4C9A4" w14:textId="77777777" w:rsidR="00C53F1B" w:rsidRDefault="00000000">
      <w:pPr>
        <w:pStyle w:val="ListParagraph"/>
        <w:numPr>
          <w:ilvl w:val="0"/>
          <w:numId w:val="2"/>
        </w:numPr>
        <w:spacing w:after="60"/>
      </w:pPr>
      <w:r>
        <w:rPr>
          <w:color w:val="1A1A1A"/>
        </w:rPr>
        <w:t>Letter from the Federal Leader of the Opposition, dated 13 November 2018, confirming bipartisan support</w:t>
      </w:r>
    </w:p>
    <w:p w14:paraId="47A84C0E" w14:textId="77777777" w:rsidR="00C53F1B" w:rsidRDefault="00000000">
      <w:pPr>
        <w:pStyle w:val="ListParagraph"/>
        <w:numPr>
          <w:ilvl w:val="0"/>
          <w:numId w:val="2"/>
        </w:numPr>
        <w:spacing w:after="60"/>
      </w:pPr>
      <w:r>
        <w:rPr>
          <w:color w:val="1A1A1A"/>
        </w:rPr>
        <w:t>Letter from the Lord Mayor of the City of Perth, dated 5 November 2018</w:t>
      </w:r>
    </w:p>
    <w:p w14:paraId="1E7A86C3" w14:textId="77777777" w:rsidR="00C53F1B" w:rsidRDefault="00000000">
      <w:pPr>
        <w:pStyle w:val="ListParagraph"/>
        <w:numPr>
          <w:ilvl w:val="0"/>
          <w:numId w:val="2"/>
        </w:numPr>
        <w:spacing w:after="60"/>
      </w:pPr>
      <w:r>
        <w:rPr>
          <w:color w:val="1A1A1A"/>
        </w:rPr>
        <w:t>Letter from the Mayor of the City of Stirling, dated 6 November 2018</w:t>
      </w:r>
    </w:p>
    <w:p w14:paraId="5D9099DD" w14:textId="77777777" w:rsidR="00C53F1B" w:rsidRDefault="00000000">
      <w:pPr>
        <w:pStyle w:val="ListParagraph"/>
        <w:numPr>
          <w:ilvl w:val="0"/>
          <w:numId w:val="2"/>
        </w:numPr>
        <w:spacing w:after="60"/>
      </w:pPr>
      <w:r>
        <w:rPr>
          <w:color w:val="1A1A1A"/>
        </w:rPr>
        <w:t>Letter from the Mayor of the City of South Perth, dated 6 November 2018</w:t>
      </w:r>
    </w:p>
    <w:p w14:paraId="0F6BA7E0" w14:textId="77777777" w:rsidR="00C53F1B" w:rsidRDefault="00000000">
      <w:pPr>
        <w:pStyle w:val="ListParagraph"/>
        <w:numPr>
          <w:ilvl w:val="0"/>
          <w:numId w:val="2"/>
        </w:numPr>
        <w:spacing w:after="60"/>
      </w:pPr>
      <w:r>
        <w:rPr>
          <w:color w:val="1A1A1A"/>
        </w:rPr>
        <w:t>Letter from the Shire President, Shire of Mundaring, dated 7 November 2018</w:t>
      </w:r>
    </w:p>
    <w:p w14:paraId="30140821" w14:textId="77777777" w:rsidR="00C53F1B" w:rsidRDefault="00000000">
      <w:pPr>
        <w:pStyle w:val="ListParagraph"/>
        <w:numPr>
          <w:ilvl w:val="0"/>
          <w:numId w:val="2"/>
        </w:numPr>
        <w:spacing w:after="60"/>
      </w:pPr>
      <w:r>
        <w:rPr>
          <w:color w:val="1A1A1A"/>
        </w:rPr>
        <w:t>Letter from the Mayor of the Town of Cottesloe, dated 7 November 2018</w:t>
      </w:r>
    </w:p>
    <w:p w14:paraId="0B88A5F8" w14:textId="77777777" w:rsidR="00C53F1B" w:rsidRDefault="00000000">
      <w:pPr>
        <w:pStyle w:val="ListParagraph"/>
        <w:numPr>
          <w:ilvl w:val="0"/>
          <w:numId w:val="2"/>
        </w:numPr>
        <w:spacing w:after="60"/>
      </w:pPr>
      <w:r>
        <w:rPr>
          <w:color w:val="1A1A1A"/>
        </w:rPr>
        <w:t xml:space="preserve">Letter from the Whadjuk Working Party, </w:t>
      </w:r>
      <w:proofErr w:type="gramStart"/>
      <w:r>
        <w:rPr>
          <w:color w:val="1A1A1A"/>
        </w:rPr>
        <w:t>South West</w:t>
      </w:r>
      <w:proofErr w:type="gramEnd"/>
      <w:r>
        <w:rPr>
          <w:color w:val="1A1A1A"/>
        </w:rPr>
        <w:t xml:space="preserve"> Aboriginal Land and Sea Council, dated 4 November 2018</w:t>
      </w:r>
    </w:p>
    <w:p w14:paraId="1453D59E" w14:textId="77777777" w:rsidR="00C53F1B" w:rsidRDefault="00000000">
      <w:pPr>
        <w:pStyle w:val="ListParagraph"/>
        <w:numPr>
          <w:ilvl w:val="0"/>
          <w:numId w:val="2"/>
        </w:numPr>
        <w:spacing w:after="60"/>
      </w:pPr>
      <w:r>
        <w:rPr>
          <w:color w:val="1A1A1A"/>
        </w:rPr>
        <w:t>Letter from the Australian Olympic Committee, dated 14 November 2018</w:t>
      </w:r>
    </w:p>
    <w:p w14:paraId="6F36BC8D" w14:textId="77777777" w:rsidR="00C53F1B" w:rsidRDefault="00000000">
      <w:pPr>
        <w:pStyle w:val="ListParagraph"/>
        <w:numPr>
          <w:ilvl w:val="0"/>
          <w:numId w:val="2"/>
        </w:numPr>
        <w:spacing w:after="60"/>
      </w:pPr>
      <w:r>
        <w:rPr>
          <w:color w:val="1A1A1A"/>
        </w:rPr>
        <w:t>Letter from Tourism Western Australia, dated 30 October 2018</w:t>
      </w:r>
    </w:p>
    <w:p w14:paraId="21EC693B" w14:textId="77777777" w:rsidR="00C53F1B" w:rsidRDefault="00000000">
      <w:pPr>
        <w:pStyle w:val="ListParagraph"/>
        <w:numPr>
          <w:ilvl w:val="0"/>
          <w:numId w:val="2"/>
        </w:numPr>
        <w:spacing w:after="60"/>
      </w:pPr>
      <w:r>
        <w:rPr>
          <w:color w:val="1A1A1A"/>
        </w:rPr>
        <w:t>Letter from the Rottnest Island Authority, dated 1 November 2018</w:t>
      </w:r>
    </w:p>
    <w:p w14:paraId="058DC797" w14:textId="77777777" w:rsidR="00C53F1B" w:rsidRDefault="00C53F1B">
      <w:pPr>
        <w:spacing w:after="120"/>
      </w:pPr>
    </w:p>
    <w:p w14:paraId="2B2EA673" w14:textId="77777777" w:rsidR="00C53F1B" w:rsidRDefault="00000000">
      <w:pPr>
        <w:spacing w:before="120" w:after="120" w:line="276" w:lineRule="auto"/>
      </w:pPr>
      <w:r>
        <w:rPr>
          <w:color w:val="595959"/>
        </w:rPr>
        <w:t>Volumes II (Letters of Support, full text), III (Engineering Modelling), and IV (Venue Mapping) are submitted as separate files alongside this main bid document.</w:t>
      </w:r>
    </w:p>
    <w:p w14:paraId="37B46544" w14:textId="77777777" w:rsidR="00C53F1B" w:rsidRDefault="00C53F1B">
      <w:pPr>
        <w:spacing w:after="120"/>
      </w:pPr>
    </w:p>
    <w:p w14:paraId="1E9DB33A" w14:textId="77777777" w:rsidR="00C53F1B" w:rsidRDefault="00C53F1B">
      <w:pPr>
        <w:spacing w:after="120"/>
      </w:pPr>
    </w:p>
    <w:p w14:paraId="22F18386" w14:textId="77777777" w:rsidR="00C53F1B" w:rsidRDefault="00000000">
      <w:pPr>
        <w:spacing w:before="120" w:after="120" w:line="276" w:lineRule="auto"/>
        <w:jc w:val="center"/>
      </w:pPr>
      <w:r>
        <w:rPr>
          <w:color w:val="595959"/>
          <w:sz w:val="20"/>
          <w:szCs w:val="20"/>
        </w:rPr>
        <w:t>This document is the property of the Government of Western Australia and the Commonwealth of Australia. It is submitted to the International Olympic Committee under the IOC Bid Document Formatting Guidelines, Version 4.2. Compliance has been verified before lodgement.</w:t>
      </w:r>
    </w:p>
    <w:p w14:paraId="264F8226" w14:textId="77777777" w:rsidR="00C53F1B" w:rsidRDefault="00000000">
      <w:pPr>
        <w:spacing w:before="120" w:after="120" w:line="276" w:lineRule="auto"/>
        <w:jc w:val="center"/>
      </w:pPr>
      <w:r>
        <w:rPr>
          <w:color w:val="595959"/>
          <w:sz w:val="20"/>
          <w:szCs w:val="20"/>
        </w:rPr>
        <w:t xml:space="preserve">Perth 2032 Bid </w:t>
      </w:r>
      <w:proofErr w:type="gramStart"/>
      <w:r>
        <w:rPr>
          <w:color w:val="595959"/>
          <w:sz w:val="20"/>
          <w:szCs w:val="20"/>
        </w:rPr>
        <w:t>Committee  |</w:t>
      </w:r>
      <w:proofErr w:type="gramEnd"/>
      <w:r>
        <w:rPr>
          <w:color w:val="595959"/>
          <w:sz w:val="20"/>
          <w:szCs w:val="20"/>
        </w:rPr>
        <w:t xml:space="preserve">  Perth, Western Australia</w:t>
      </w:r>
    </w:p>
    <w:sectPr w:rsidR="00C53F1B">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9B425" w14:textId="77777777" w:rsidR="00062C81" w:rsidRDefault="00062C81">
      <w:r>
        <w:separator/>
      </w:r>
    </w:p>
  </w:endnote>
  <w:endnote w:type="continuationSeparator" w:id="0">
    <w:p w14:paraId="05C14CEA" w14:textId="77777777" w:rsidR="00062C81" w:rsidRDefault="0006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D42E" w14:textId="77777777" w:rsidR="00C53F1B" w:rsidRDefault="00000000">
    <w:pPr>
      <w:jc w:val="center"/>
    </w:pPr>
    <w:r>
      <w:rPr>
        <w:color w:val="595959"/>
        <w:sz w:val="18"/>
        <w:szCs w:val="18"/>
      </w:rPr>
      <w:t xml:space="preserve">Page </w:t>
    </w:r>
    <w:r>
      <w:rPr>
        <w:color w:val="595959"/>
        <w:sz w:val="18"/>
        <w:szCs w:val="18"/>
      </w:rPr>
      <w:fldChar w:fldCharType="begin"/>
    </w:r>
    <w:r>
      <w:rPr>
        <w:color w:val="595959"/>
        <w:sz w:val="18"/>
        <w:szCs w:val="18"/>
      </w:rPr>
      <w:instrText>PAGE</w:instrText>
    </w:r>
    <w:r>
      <w:rPr>
        <w:color w:val="595959"/>
        <w:sz w:val="18"/>
        <w:szCs w:val="18"/>
      </w:rPr>
      <w:fldChar w:fldCharType="separate"/>
    </w:r>
    <w:r w:rsidR="0050056A">
      <w:rPr>
        <w:noProof/>
        <w:color w:val="595959"/>
        <w:sz w:val="18"/>
        <w:szCs w:val="18"/>
      </w:rPr>
      <w:t>1</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50056A">
      <w:rPr>
        <w:noProof/>
        <w:color w:val="595959"/>
        <w:sz w:val="18"/>
        <w:szCs w:val="18"/>
      </w:rPr>
      <w:t>2</w:t>
    </w:r>
    <w:r>
      <w:rPr>
        <w:color w:val="595959"/>
        <w:sz w:val="18"/>
        <w:szCs w:val="18"/>
      </w:rPr>
      <w:fldChar w:fldCharType="end"/>
    </w:r>
    <w:r>
      <w:rPr>
        <w:color w:val="595959"/>
        <w:sz w:val="18"/>
        <w:szCs w:val="18"/>
      </w:rPr>
      <w:t xml:space="preserve">  |  Lodged 16 November </w:t>
    </w:r>
    <w:proofErr w:type="gramStart"/>
    <w:r>
      <w:rPr>
        <w:color w:val="595959"/>
        <w:sz w:val="18"/>
        <w:szCs w:val="18"/>
      </w:rPr>
      <w:t>2018  |</w:t>
    </w:r>
    <w:proofErr w:type="gramEnd"/>
    <w:r>
      <w:rPr>
        <w:color w:val="595959"/>
        <w:sz w:val="18"/>
        <w:szCs w:val="18"/>
      </w:rPr>
      <w:t xml:space="preserve">  IOC City Bid Portal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32F15" w14:textId="77777777" w:rsidR="00062C81" w:rsidRDefault="00062C81">
      <w:r>
        <w:separator/>
      </w:r>
    </w:p>
  </w:footnote>
  <w:footnote w:type="continuationSeparator" w:id="0">
    <w:p w14:paraId="223EEB54" w14:textId="77777777" w:rsidR="00062C81" w:rsidRDefault="0006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6845" w14:textId="77777777" w:rsidR="00C53F1B" w:rsidRDefault="00000000">
    <w:pPr>
      <w:jc w:val="right"/>
    </w:pPr>
    <w:r>
      <w:rPr>
        <w:color w:val="595959"/>
        <w:sz w:val="18"/>
        <w:szCs w:val="18"/>
      </w:rPr>
      <w:t>Perth 2032 — Bid for the Games of the XXXIII Olympiad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3F4A"/>
    <w:multiLevelType w:val="hybridMultilevel"/>
    <w:tmpl w:val="EE96A43A"/>
    <w:lvl w:ilvl="0" w:tplc="C3D2EEC0">
      <w:start w:val="1"/>
      <w:numFmt w:val="bullet"/>
      <w:lvlText w:val="●"/>
      <w:lvlJc w:val="left"/>
      <w:pPr>
        <w:ind w:left="720" w:hanging="360"/>
      </w:pPr>
    </w:lvl>
    <w:lvl w:ilvl="1" w:tplc="CED8D3E6">
      <w:start w:val="1"/>
      <w:numFmt w:val="bullet"/>
      <w:lvlText w:val="○"/>
      <w:lvlJc w:val="left"/>
      <w:pPr>
        <w:ind w:left="1440" w:hanging="360"/>
      </w:pPr>
    </w:lvl>
    <w:lvl w:ilvl="2" w:tplc="C588981C">
      <w:start w:val="1"/>
      <w:numFmt w:val="bullet"/>
      <w:lvlText w:val="■"/>
      <w:lvlJc w:val="left"/>
      <w:pPr>
        <w:ind w:left="2160" w:hanging="360"/>
      </w:pPr>
    </w:lvl>
    <w:lvl w:ilvl="3" w:tplc="DD687FDC">
      <w:start w:val="1"/>
      <w:numFmt w:val="bullet"/>
      <w:lvlText w:val="●"/>
      <w:lvlJc w:val="left"/>
      <w:pPr>
        <w:ind w:left="2880" w:hanging="360"/>
      </w:pPr>
    </w:lvl>
    <w:lvl w:ilvl="4" w:tplc="97725E24">
      <w:start w:val="1"/>
      <w:numFmt w:val="bullet"/>
      <w:lvlText w:val="○"/>
      <w:lvlJc w:val="left"/>
      <w:pPr>
        <w:ind w:left="3600" w:hanging="360"/>
      </w:pPr>
    </w:lvl>
    <w:lvl w:ilvl="5" w:tplc="E6BEB480">
      <w:start w:val="1"/>
      <w:numFmt w:val="bullet"/>
      <w:lvlText w:val="■"/>
      <w:lvlJc w:val="left"/>
      <w:pPr>
        <w:ind w:left="4320" w:hanging="360"/>
      </w:pPr>
    </w:lvl>
    <w:lvl w:ilvl="6" w:tplc="2F8C7ABE">
      <w:start w:val="1"/>
      <w:numFmt w:val="bullet"/>
      <w:lvlText w:val="●"/>
      <w:lvlJc w:val="left"/>
      <w:pPr>
        <w:ind w:left="5040" w:hanging="360"/>
      </w:pPr>
    </w:lvl>
    <w:lvl w:ilvl="7" w:tplc="6F9C15C0">
      <w:start w:val="1"/>
      <w:numFmt w:val="bullet"/>
      <w:lvlText w:val="●"/>
      <w:lvlJc w:val="left"/>
      <w:pPr>
        <w:ind w:left="5760" w:hanging="360"/>
      </w:pPr>
    </w:lvl>
    <w:lvl w:ilvl="8" w:tplc="DDE2C864">
      <w:start w:val="1"/>
      <w:numFmt w:val="bullet"/>
      <w:lvlText w:val="●"/>
      <w:lvlJc w:val="left"/>
      <w:pPr>
        <w:ind w:left="6480" w:hanging="360"/>
      </w:pPr>
    </w:lvl>
  </w:abstractNum>
  <w:abstractNum w:abstractNumId="1" w15:restartNumberingAfterBreak="0">
    <w:nsid w:val="68ED11E8"/>
    <w:multiLevelType w:val="hybridMultilevel"/>
    <w:tmpl w:val="68749F64"/>
    <w:lvl w:ilvl="0" w:tplc="40628242">
      <w:start w:val="1"/>
      <w:numFmt w:val="bullet"/>
      <w:lvlText w:val="•"/>
      <w:lvlJc w:val="left"/>
      <w:pPr>
        <w:ind w:left="720" w:hanging="360"/>
      </w:pPr>
    </w:lvl>
    <w:lvl w:ilvl="1" w:tplc="C3D2F720">
      <w:numFmt w:val="decimal"/>
      <w:lvlText w:val=""/>
      <w:lvlJc w:val="left"/>
    </w:lvl>
    <w:lvl w:ilvl="2" w:tplc="0AD87526">
      <w:numFmt w:val="decimal"/>
      <w:lvlText w:val=""/>
      <w:lvlJc w:val="left"/>
    </w:lvl>
    <w:lvl w:ilvl="3" w:tplc="97341D1C">
      <w:numFmt w:val="decimal"/>
      <w:lvlText w:val=""/>
      <w:lvlJc w:val="left"/>
    </w:lvl>
    <w:lvl w:ilvl="4" w:tplc="3FE23E0C">
      <w:numFmt w:val="decimal"/>
      <w:lvlText w:val=""/>
      <w:lvlJc w:val="left"/>
    </w:lvl>
    <w:lvl w:ilvl="5" w:tplc="CFBE634A">
      <w:numFmt w:val="decimal"/>
      <w:lvlText w:val=""/>
      <w:lvlJc w:val="left"/>
    </w:lvl>
    <w:lvl w:ilvl="6" w:tplc="AB9E5ACC">
      <w:numFmt w:val="decimal"/>
      <w:lvlText w:val=""/>
      <w:lvlJc w:val="left"/>
    </w:lvl>
    <w:lvl w:ilvl="7" w:tplc="ADE4738E">
      <w:numFmt w:val="decimal"/>
      <w:lvlText w:val=""/>
      <w:lvlJc w:val="left"/>
    </w:lvl>
    <w:lvl w:ilvl="8" w:tplc="900EFD3A">
      <w:numFmt w:val="decimal"/>
      <w:lvlText w:val=""/>
      <w:lvlJc w:val="left"/>
    </w:lvl>
  </w:abstractNum>
  <w:num w:numId="1" w16cid:durableId="1450081143">
    <w:abstractNumId w:val="0"/>
    <w:lvlOverride w:ilvl="0">
      <w:startOverride w:val="1"/>
    </w:lvlOverride>
  </w:num>
  <w:num w:numId="2" w16cid:durableId="61938520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F1B"/>
    <w:rsid w:val="00062C81"/>
    <w:rsid w:val="004344DB"/>
    <w:rsid w:val="0050056A"/>
    <w:rsid w:val="00C53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DAB8"/>
  <w15:docId w15:val="{02046D54-D753-46D0-BF33-C4C08E7C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line="276" w:lineRule="auto"/>
      <w:outlineLvl w:val="0"/>
    </w:pPr>
    <w:rPr>
      <w:b/>
      <w:bCs/>
      <w:color w:val="1F3864"/>
      <w:sz w:val="40"/>
      <w:szCs w:val="40"/>
    </w:rPr>
  </w:style>
  <w:style w:type="paragraph" w:styleId="Heading2">
    <w:name w:val="heading 2"/>
    <w:uiPriority w:val="9"/>
    <w:unhideWhenUsed/>
    <w:qFormat/>
    <w:pPr>
      <w:spacing w:before="280" w:after="140" w:line="276" w:lineRule="auto"/>
      <w:outlineLvl w:val="1"/>
    </w:pPr>
    <w:rPr>
      <w:b/>
      <w:bCs/>
      <w:color w:val="1F3864"/>
      <w:sz w:val="32"/>
      <w:szCs w:val="32"/>
    </w:rPr>
  </w:style>
  <w:style w:type="paragraph" w:styleId="Heading3">
    <w:name w:val="heading 3"/>
    <w:uiPriority w:val="9"/>
    <w:unhideWhenUsed/>
    <w:qFormat/>
    <w:pPr>
      <w:spacing w:before="220" w:after="100" w:line="276" w:lineRule="auto"/>
      <w:outlineLvl w:val="2"/>
    </w:pPr>
    <w:rPr>
      <w:b/>
      <w:bCs/>
      <w:color w:val="1F3864"/>
      <w:sz w:val="26"/>
      <w:szCs w:val="26"/>
    </w:rPr>
  </w:style>
  <w:style w:type="paragraph" w:styleId="Heading4">
    <w:name w:val="heading 4"/>
    <w:uiPriority w:val="9"/>
    <w:semiHidden/>
    <w:unhideWhenUsed/>
    <w:qFormat/>
    <w:pPr>
      <w:spacing w:before="180" w:after="80" w:line="276" w:lineRule="auto"/>
      <w:outlineLvl w:val="3"/>
    </w:pPr>
    <w:rPr>
      <w:b/>
      <w:bCs/>
      <w:color w:val="1F3864"/>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50056A"/>
    <w:pPr>
      <w:spacing w:after="100"/>
    </w:pPr>
  </w:style>
  <w:style w:type="paragraph" w:styleId="TOC2">
    <w:name w:val="toc 2"/>
    <w:basedOn w:val="Normal"/>
    <w:next w:val="Normal"/>
    <w:autoRedefine/>
    <w:uiPriority w:val="39"/>
    <w:unhideWhenUsed/>
    <w:rsid w:val="0050056A"/>
    <w:pPr>
      <w:spacing w:after="100"/>
      <w:ind w:left="220"/>
    </w:pPr>
  </w:style>
  <w:style w:type="paragraph" w:styleId="TOC3">
    <w:name w:val="toc 3"/>
    <w:basedOn w:val="Normal"/>
    <w:next w:val="Normal"/>
    <w:autoRedefine/>
    <w:uiPriority w:val="39"/>
    <w:unhideWhenUsed/>
    <w:rsid w:val="0050056A"/>
    <w:pPr>
      <w:spacing w:after="100"/>
      <w:ind w:left="440"/>
    </w:pPr>
  </w:style>
  <w:style w:type="character" w:styleId="UnresolvedMention">
    <w:name w:val="Unresolved Mention"/>
    <w:basedOn w:val="DefaultParagraphFont"/>
    <w:uiPriority w:val="99"/>
    <w:semiHidden/>
    <w:unhideWhenUsed/>
    <w:rsid w:val="00500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4542</Words>
  <Characters>25891</Characters>
  <Application>Microsoft Office Word</Application>
  <DocSecurity>0</DocSecurity>
  <Lines>215</Lines>
  <Paragraphs>60</Paragraphs>
  <ScaleCrop>false</ScaleCrop>
  <Company>Charles Darwin University</Company>
  <LinksUpToDate>false</LinksUpToDate>
  <CharactersWithSpaces>30373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Perth 2032 — Bid for the Games of the XXXIII Olympiad</dc:title>
  <dc:creator>Perth 2032 Bid Committee</dc:creator>
  <dc:description>Western Australia's candidate-city submission to the IOC for the 2032 Summer Olympic Games</dc:description>
  <cp:lastModifiedBy>Sally Davis</cp:lastModifiedBy>
  <cp:revision>3</cp:revision>
  <dcterms:created xsi:type="dcterms:W3CDTF">2026-05-04T22:16:00Z</dcterms:created>
  <dcterms:modified xsi:type="dcterms:W3CDTF">2026-05-05T04:27:00Z</dcterms:modified>
</cp:coreProperties>
</file>