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onsolas" w:hAnsi="Consolas"/>
          <w:b/>
          <w:color w:val="128A8A"/>
          <w:sz w:val="17"/>
          <w:spacing w:val="30"/>
        </w:rPr>
        <w:t>NT WORLD INK  /  CYBER SECURITY AWARENESS</w:t>
      </w:r>
    </w:p>
    <w:p>
      <w:pPr>
        <w:spacing w:after="120"/>
        <w:pBdr>
          <w:bottom w:val="single" w:sz="14" w:space="4" w:color="128A8A"/>
        </w:pBdr>
      </w:pPr>
      <w:r>
        <w:rPr>
          <w:rFonts w:ascii="Georgia" w:hAnsi="Georgia"/>
          <w:b/>
          <w:color w:val="162A30"/>
          <w:sz w:val="40"/>
        </w:rPr>
        <w:t>Session 4 · Reporting &amp; Response</w:t>
      </w:r>
    </w:p>
    <w:p>
      <w:pPr>
        <w:spacing w:before="80" w:after="160"/>
      </w:pPr>
      <w:r>
        <w:rPr>
          <w:rFonts w:ascii="Calibri" w:hAnsi="Calibri"/>
          <w:i/>
          <w:color w:val="5A5A5A"/>
          <w:sz w:val="21"/>
        </w:rPr>
        <w:t>If something looks wrong, report it fast. No incident is too small, and there is no blame for speaking up.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What counts as an incident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You clicked a dodgy link or typed your password into a fake page.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A work phone or laptop is lost or stolen, even if it is locked.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An account is behaving strangely: unexpected logouts, sign-ins, or sent emails.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An unexpected payment request, supplier bank change, or odd invoice.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Files will not open and a message demands payment to unlock them (ransomware): the most urgent of all.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FBF1DA"/>
            <w:tcBorders>
              <w:left w:val="single" w:sz="18" w:space="0" w:color="C9911A"/>
            </w:tcBorders>
          </w:tcPr>
          <w:p>
            <w:pPr>
              <w:spacing w:after="40"/>
            </w:pPr>
            <w:r>
              <w:rPr>
                <w:rFonts w:ascii="Consolas" w:hAnsi="Consolas"/>
                <w:b/>
                <w:color w:val="A87710"/>
                <w:sz w:val="17"/>
              </w:rPr>
              <w:t>TO BE CONFIRMED WITH COUNCIL IT</w:t>
            </w:r>
          </w:p>
          <w:p>
            <w:pPr>
              <w:spacing w:after="120"/>
            </w:pPr>
            <w:r>
              <w:rPr>
                <w:rFonts w:ascii="Georgia" w:hAnsi="Georgia"/>
                <w:b/>
                <w:color w:val="162A30"/>
                <w:sz w:val="24"/>
              </w:rPr>
              <w:t>Your Council's reporting details</w:t>
            </w:r>
          </w:p>
          <w:p>
            <w:pPr>
              <w:spacing w:after="60"/>
            </w:pPr>
            <w:r>
              <w:rPr>
                <w:rFonts w:ascii="Calibri" w:hAnsi="Calibri"/>
                <w:b/>
                <w:color w:val="1A1A1A"/>
                <w:sz w:val="20"/>
              </w:rPr>
              <w:t xml:space="preserve">Phone the IT Service Desk:  </w:t>
            </w:r>
            <w:r>
              <w:rPr>
                <w:rFonts w:ascii="Consolas" w:hAnsi="Consolas"/>
                <w:color w:val="A87710"/>
                <w:sz w:val="20"/>
              </w:rPr>
              <w:t>[ phone number to be confirmed ]</w:t>
            </w:r>
          </w:p>
          <w:p>
            <w:pPr>
              <w:spacing w:after="60"/>
            </w:pPr>
            <w:r>
              <w:rPr>
                <w:rFonts w:ascii="Calibri" w:hAnsi="Calibri"/>
                <w:b/>
                <w:color w:val="1A1A1A"/>
                <w:sz w:val="20"/>
              </w:rPr>
              <w:t xml:space="preserve">Log a ticket:  </w:t>
            </w:r>
            <w:r>
              <w:rPr>
                <w:rFonts w:ascii="Consolas" w:hAnsi="Consolas"/>
                <w:color w:val="A87710"/>
                <w:sz w:val="20"/>
              </w:rPr>
              <w:t>[ ticket system or link to be confirmed ]</w:t>
            </w:r>
          </w:p>
          <w:p>
            <w:pPr>
              <w:spacing w:after="60"/>
            </w:pPr>
            <w:r>
              <w:rPr>
                <w:rFonts w:ascii="Calibri" w:hAnsi="Calibri"/>
                <w:b/>
                <w:color w:val="1A1A1A"/>
                <w:sz w:val="20"/>
              </w:rPr>
              <w:t xml:space="preserve">Email IT:  </w:t>
            </w:r>
            <w:r>
              <w:rPr>
                <w:rFonts w:ascii="Consolas" w:hAnsi="Consolas"/>
                <w:color w:val="A87710"/>
                <w:sz w:val="20"/>
              </w:rPr>
              <w:t>[ email address to be confirmed ]</w:t>
            </w:r>
          </w:p>
          <w:p>
            <w:pPr>
              <w:spacing w:before="80"/>
            </w:pPr>
            <w:r>
              <w:rPr>
                <w:rFonts w:ascii="Calibri" w:hAnsi="Calibri"/>
                <w:i/>
                <w:color w:val="5A5A5A"/>
                <w:sz w:val="18"/>
              </w:rPr>
              <w:t>These three details are specific to your workplace. Everything else here applies everywhere.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How to report, in the first few minutes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80"/>
            </w:pPr>
            <w:r>
              <w:rPr>
                <w:rFonts w:ascii="Georgia" w:hAnsi="Georgia"/>
                <w:b/>
                <w:color w:val="162A30"/>
                <w:sz w:val="23"/>
              </w:rPr>
              <w:t>Do this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1.  </w:t>
            </w:r>
            <w:r>
              <w:rPr>
                <w:rFonts w:ascii="Calibri" w:hAnsi="Calibri"/>
                <w:b/>
                <w:color w:val="1A1A1A"/>
                <w:sz w:val="20"/>
              </w:rPr>
              <w:t xml:space="preserve">Report straight away. </w:t>
            </w:r>
            <w:r>
              <w:rPr>
                <w:rFonts w:ascii="Calibri" w:hAnsi="Calibri"/>
                <w:color w:val="1A1A1A"/>
                <w:sz w:val="20"/>
              </w:rPr>
              <w:t>Phone for anything urgent (live ransomware, money moving, a lost device); ticket or email for the rest. When in doubt, phone.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2.  </w:t>
            </w:r>
            <w:r>
              <w:rPr>
                <w:rFonts w:ascii="Calibri" w:hAnsi="Calibri"/>
                <w:b/>
                <w:color w:val="1A1A1A"/>
                <w:sz w:val="20"/>
              </w:rPr>
              <w:t xml:space="preserve">Say what happened plainly. </w:t>
            </w:r>
            <w:r>
              <w:rPr>
                <w:rFonts w:ascii="Calibri" w:hAnsi="Calibri"/>
                <w:color w:val="1A1A1A"/>
                <w:sz w:val="20"/>
              </w:rPr>
              <w:t>What you saw, what you did, and when. No technical words needed.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3.  </w:t>
            </w:r>
            <w:r>
              <w:rPr>
                <w:rFonts w:ascii="Calibri" w:hAnsi="Calibri"/>
                <w:b/>
                <w:color w:val="1A1A1A"/>
                <w:sz w:val="20"/>
              </w:rPr>
              <w:t xml:space="preserve">Do not try to fix it or cover it up. </w:t>
            </w:r>
            <w:r>
              <w:rPr>
                <w:rFonts w:ascii="Calibri" w:hAnsi="Calibri"/>
                <w:color w:val="1A1A1A"/>
                <w:sz w:val="20"/>
              </w:rPr>
              <w:t>Do not delete the email or keep using a device you think is compromised. Keep the evidence.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4.  </w:t>
            </w:r>
            <w:r>
              <w:rPr>
                <w:rFonts w:ascii="Calibri" w:hAnsi="Calibri"/>
                <w:b/>
                <w:color w:val="1A1A1A"/>
                <w:sz w:val="20"/>
              </w:rPr>
              <w:t xml:space="preserve">Follow IT's instructions. </w:t>
            </w:r>
            <w:r>
              <w:rPr>
                <w:rFonts w:ascii="Calibri" w:hAnsi="Calibri"/>
                <w:color w:val="1A1A1A"/>
                <w:sz w:val="20"/>
              </w:rPr>
              <w:t>They may ask you to change a password, disconnect a device, or sit tight.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40"/>
            </w:pPr>
            <w:r>
              <w:rPr>
                <w:rFonts w:ascii="Georgia" w:hAnsi="Georgia"/>
                <w:b/>
                <w:color w:val="162A30"/>
                <w:sz w:val="23"/>
              </w:rPr>
              <w:t>Speed beats certainty, and there is no blame</w:t>
            </w:r>
          </w:p>
          <w:p>
            <w:r>
              <w:rPr>
                <w:rFonts w:ascii="Calibri" w:hAnsi="Calibri"/>
                <w:color w:val="1A1A1A"/>
                <w:sz w:val="20"/>
              </w:rPr>
              <w:t>You do not need to be sure before you report. Reporting a mistake quickly is not a failure; it is what limits the damage, and it is exactly what good staff do.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The legal clock (Council handles this, not you)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Ransomware payment: 72 hours. </w:t>
      </w:r>
      <w:r>
        <w:rPr>
          <w:rFonts w:ascii="Calibri" w:hAnsi="Calibri"/>
          <w:color w:val="1A1A1A"/>
          <w:sz w:val="21"/>
        </w:rPr>
        <w:t>Under the Cyber Security Act 2024, a payment to a ransomware attacker must be reported to the Australian Signals Directorate within 72 hours.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Data breach: as soon as practicable. </w:t>
      </w:r>
      <w:r>
        <w:rPr>
          <w:rFonts w:ascii="Calibri" w:hAnsi="Calibri"/>
          <w:color w:val="1A1A1A"/>
          <w:sz w:val="21"/>
        </w:rPr>
        <w:t>Under the Notifiable Data Breaches scheme, affected people and the Information Commissioner must be told as soon as practicable. NT public bodies also have obligations under the NT Information Act.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Council cannot start either clock until someone reports. Your fast internal report is what makes it possible.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For your own personal incidents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ReportCyber:  </w:t>
      </w:r>
      <w:r>
        <w:rPr>
          <w:rFonts w:ascii="Calibri" w:hAnsi="Calibri"/>
          <w:color w:val="1A1A1A"/>
          <w:sz w:val="21"/>
        </w:rPr>
        <w:t>cyber.gov.au/report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Scamwatch:  </w:t>
      </w:r>
      <w:r>
        <w:rPr>
          <w:rFonts w:ascii="Calibri" w:hAnsi="Calibri"/>
          <w:color w:val="1A1A1A"/>
          <w:sz w:val="21"/>
        </w:rPr>
        <w:t>scamwatch.gov.au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IDCARE:  </w:t>
      </w:r>
      <w:r>
        <w:rPr>
          <w:rFonts w:ascii="Calibri" w:hAnsi="Calibri"/>
          <w:color w:val="1A1A1A"/>
          <w:sz w:val="21"/>
        </w:rPr>
        <w:t>1800 595 160 (identity theft)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eSafety Commissioner:  </w:t>
      </w:r>
      <w:r>
        <w:rPr>
          <w:rFonts w:ascii="Calibri" w:hAnsi="Calibri"/>
          <w:color w:val="1A1A1A"/>
          <w:sz w:val="21"/>
        </w:rPr>
        <w:t>esafety.gov.au (online abuse, image-based abuse)</w:t>
      </w:r>
    </w:p>
    <w:p>
      <w:pPr>
        <w:spacing w:before="120"/>
      </w:pPr>
    </w:p>
    <w:p>
      <w:pPr>
        <w:pBdr>
          <w:bottom w:val="single" w:sz="4" w:space="4" w:color="128A8A"/>
        </w:pBdr>
      </w:pPr>
    </w:p>
    <w:p>
      <w:r>
        <w:rPr>
          <w:rFonts w:ascii="Consolas" w:hAnsi="Consolas"/>
          <w:color w:val="5A5A5A"/>
          <w:sz w:val="16"/>
        </w:rPr>
        <w:t>ntworldink.com   ·   Cyber Security Awareness   ·   Session 4 of 4   ·   Free to print and share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