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CYBER SECURITY AWARENESS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Session 1 · Your Cyber Hygiene Checklist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The small habits that stop most everyday trouble. Work through these in your own time. Even the first two put you ahead of most break-ins.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Do these first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Give my email its own brand new four-word passphrase, used nowhere else.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Turn on two-step login for my email and my MyGov.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The rest of the checklist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Set up a password manager (Bitwarden is free), even a few accounts to start.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Check my main email on Have I Been Pwned, and change any password it flags.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Turn on automatic updates for my phone, computer, and apps.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Set my phone and laptop to lock themselves after a minute or two.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Avoid banking and important logins on public wi-fi; use my own mobile data.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Save cyber.gov.au somewhere I can find it again.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The strong passphrase trick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Pick four random words, like copper-emu-lantern-river. Long beats complicated, and it is easy to remember. Never reuse it, especially on your email, banking, MyGov, and work login. If one website is hacked, a reused password hands over all the others.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Free tools worth saving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cyber.gov.au:  </w:t>
      </w:r>
      <w:r>
        <w:rPr>
          <w:rFonts w:ascii="Calibri" w:hAnsi="Calibri"/>
          <w:color w:val="1A1A1A"/>
          <w:sz w:val="21"/>
        </w:rPr>
        <w:t>plain-language Australian government cyber advice for everyday people.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haveibeenpwned.com:  </w:t>
      </w:r>
      <w:r>
        <w:rPr>
          <w:rFonts w:ascii="Calibri" w:hAnsi="Calibri"/>
          <w:color w:val="1A1A1A"/>
          <w:sz w:val="21"/>
        </w:rPr>
        <w:t>check whether your email has turned up in a known data breach.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bitwarden.com:  </w:t>
      </w:r>
      <w:r>
        <w:rPr>
          <w:rFonts w:ascii="Calibri" w:hAnsi="Calibri"/>
          <w:color w:val="1A1A1A"/>
          <w:sz w:val="21"/>
        </w:rPr>
        <w:t>a free password manager that works on phone and computer.</w:t>
      </w: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Cyber Security Awareness   ·   Session 1 of 4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